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4C72ED">
      <w:pPr>
        <w:pBdr>
          <w:top w:val="nil"/>
          <w:left w:val="nil"/>
          <w:bottom w:val="nil"/>
          <w:right w:val="nil"/>
          <w:between w:val="nil"/>
        </w:pBdr>
        <w:ind w:left="119"/>
        <w:rPr>
          <w:color w:val="000000"/>
          <w:sz w:val="20"/>
          <w:szCs w:val="20"/>
        </w:rPr>
      </w:pPr>
      <w:r>
        <w:rPr>
          <w:noProof/>
        </w:rPr>
      </w: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"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4C72ED">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4C72ED" w:rsidP="00917990">
      <w:pPr>
        <w:pBdr>
          <w:top w:val="nil"/>
          <w:left w:val="nil"/>
          <w:bottom w:val="nil"/>
          <w:right w:val="nil"/>
          <w:between w:val="nil"/>
        </w:pBdr>
        <w:spacing w:line="276" w:lineRule="auto"/>
        <w:ind w:left="119" w:right="119"/>
        <w:jc w:val="both"/>
        <w:rPr>
          <w:rFonts w:eastAsiaTheme="minorEastAsia" w:hint="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4C72ED" w:rsidP="00917990">
      <w:pPr>
        <w:pBdr>
          <w:top w:val="nil"/>
          <w:left w:val="nil"/>
          <w:bottom w:val="nil"/>
          <w:right w:val="nil"/>
          <w:between w:val="nil"/>
        </w:pBdr>
        <w:spacing w:line="276" w:lineRule="auto"/>
        <w:ind w:left="119" w:right="119"/>
        <w:jc w:val="both"/>
        <w:rPr>
          <w:rFonts w:eastAsiaTheme="minorEastAsia" w:hint="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E82706"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hint="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E82706"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E82706"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E82706"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hint="eastAsia"/>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hint="eastAsia"/>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.4.1 Mediatied-Moderation 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hint="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E82706"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E82706"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E82706"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E82706"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E82706"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E82706"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E82706"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E82706"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E82706"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E82706"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E82706"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E82706"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E82706"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Pr="00E82706">
        <w:rPr>
          <w:rFonts w:eastAsiaTheme="minorHAnsi"/>
          <w:sz w:val="20"/>
          <w:szCs w:val="20"/>
          <w:lang w:val="x-none"/>
        </w:rPr>
        <w:t>,</w:t>
      </w:r>
    </w:p>
    <w:p w14:paraId="318E4510" w14:textId="77777777" w:rsidR="00E82706" w:rsidRPr="00E82706" w:rsidRDefault="00E82706"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Pr="00E82706">
        <w:rPr>
          <w:rFonts w:eastAsiaTheme="minorHAnsi"/>
          <w:i/>
          <w:sz w:val="20"/>
          <w:szCs w:val="20"/>
          <w:lang w:val="x-none"/>
        </w:rPr>
        <w:t>,</w:t>
      </w:r>
    </w:p>
    <w:p w14:paraId="39FC5167" w14:textId="77777777" w:rsidR="00E82706" w:rsidRPr="00E82706" w:rsidRDefault="00E82706"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w:t>
      </w:r>
    </w:p>
    <w:p w14:paraId="1FCBA70D" w14:textId="77777777" w:rsidR="00E82706" w:rsidRPr="00E82706" w:rsidRDefault="00E82706"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E82706"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E82706"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E82706"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Pr="00E82706">
        <w:rPr>
          <w:rFonts w:eastAsiaTheme="minorHAnsi"/>
          <w:sz w:val="20"/>
          <w:szCs w:val="20"/>
          <w:lang w:val="x-none"/>
        </w:rPr>
        <w:t xml:space="preserve">, for </w:t>
      </w:r>
      <m:oMath>
        <m:r>
          <w:rPr>
            <w:rFonts w:ascii="Cambria Math" w:eastAsiaTheme="minorHAnsi" w:hAnsi="Cambria Math"/>
            <w:sz w:val="20"/>
            <w:szCs w:val="20"/>
          </w:rPr>
          <m:t>l=0,1,…,p.</m:t>
        </m:r>
      </m:oMath>
      <w:r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25070EDA"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.1 Disaster Data</w:t>
      </w:r>
    </w:p>
    <w:p w14:paraId="2E6A5712" w14:textId="77777777" w:rsidR="00F31296" w:rsidRDefault="00060E61">
      <w:pPr>
        <w:widowControl/>
        <w:spacing w:before="240" w:after="240" w:line="228" w:lineRule="auto"/>
        <w:jc w:val="both"/>
        <w:rPr>
          <w:sz w:val="20"/>
          <w:szCs w:val="20"/>
          <w:shd w:val="clear" w:color="auto" w:fill="FDFDFD"/>
        </w:rPr>
      </w:pPr>
      <w:r>
        <w:rPr>
          <w:sz w:val="20"/>
          <w:szCs w:val="20"/>
          <w:shd w:val="clear" w:color="auto" w:fill="FDFDFD"/>
        </w:rPr>
        <w:t>Studies have been conducted that beliefs about climate change affect individual decision-making on environmental issues. 211 participants read an article about famine in sub-Saharan Africa due to severe drought. 101 of them read a framed article that the cause of drought was human-induced climate change. The “donation” variable was measured using five questions. All questions have a 7-point scale</w:t>
      </w:r>
      <w:r>
        <w:rPr>
          <w:sz w:val="20"/>
          <w:szCs w:val="20"/>
          <w:highlight w:val="white"/>
        </w:rPr>
        <w:t xml:space="preserve"> (1 = </w:t>
      </w:r>
      <w:r>
        <w:rPr>
          <w:i/>
          <w:sz w:val="20"/>
          <w:szCs w:val="20"/>
          <w:highlight w:val="white"/>
        </w:rPr>
        <w:t>strongly disagree</w:t>
      </w:r>
      <w:r>
        <w:rPr>
          <w:sz w:val="20"/>
          <w:szCs w:val="20"/>
          <w:highlight w:val="white"/>
        </w:rPr>
        <w:t xml:space="preserve">, 7 = </w:t>
      </w:r>
      <w:r>
        <w:rPr>
          <w:i/>
          <w:sz w:val="20"/>
          <w:szCs w:val="20"/>
          <w:highlight w:val="white"/>
        </w:rPr>
        <w:t>strongly agree</w:t>
      </w:r>
      <w:r>
        <w:rPr>
          <w:sz w:val="20"/>
          <w:szCs w:val="20"/>
          <w:highlight w:val="white"/>
        </w:rPr>
        <w:t>)</w:t>
      </w:r>
      <w:r>
        <w:rPr>
          <w:sz w:val="20"/>
          <w:szCs w:val="20"/>
          <w:shd w:val="clear" w:color="auto" w:fill="FDFDFD"/>
        </w:rPr>
        <w:t xml:space="preserve">, and the higher the score, the more positive the attitude toward donation. </w:t>
      </w:r>
      <w:r>
        <w:rPr>
          <w:sz w:val="20"/>
          <w:szCs w:val="20"/>
          <w:highlight w:val="white"/>
        </w:rPr>
        <w:t xml:space="preserve"> </w:t>
      </w:r>
      <w:r>
        <w:rPr>
          <w:sz w:val="20"/>
          <w:szCs w:val="20"/>
          <w:shd w:val="clear" w:color="auto" w:fill="FDFDFD"/>
        </w:rPr>
        <w:t xml:space="preserve">The “justify” variable means justification for donation. </w:t>
      </w:r>
      <w:r>
        <w:rPr>
          <w:sz w:val="20"/>
          <w:szCs w:val="20"/>
          <w:highlight w:val="white"/>
        </w:rPr>
        <w:t xml:space="preserve">Higher scores indicated greater justifications to withhold donations. </w:t>
      </w:r>
      <w:r>
        <w:rPr>
          <w:sz w:val="20"/>
          <w:szCs w:val="20"/>
          <w:shd w:val="clear" w:color="auto" w:fill="FDFDFD"/>
        </w:rPr>
        <w:t>The “skeptic” variable was measured using five questions. All questions have a 9-point scale</w:t>
      </w:r>
      <w:r>
        <w:rPr>
          <w:sz w:val="20"/>
          <w:szCs w:val="20"/>
          <w:highlight w:val="white"/>
        </w:rPr>
        <w:t xml:space="preserve"> (1 = </w:t>
      </w:r>
      <w:r>
        <w:rPr>
          <w:i/>
          <w:sz w:val="20"/>
          <w:szCs w:val="20"/>
          <w:highlight w:val="white"/>
        </w:rPr>
        <w:t>strongly disagree</w:t>
      </w:r>
      <w:r>
        <w:rPr>
          <w:sz w:val="20"/>
          <w:szCs w:val="20"/>
          <w:highlight w:val="white"/>
        </w:rPr>
        <w:t xml:space="preserve">, 9 = </w:t>
      </w:r>
      <w:r>
        <w:rPr>
          <w:i/>
          <w:sz w:val="20"/>
          <w:szCs w:val="20"/>
          <w:highlight w:val="white"/>
        </w:rPr>
        <w:t>strongly agree</w:t>
      </w:r>
      <w:r>
        <w:rPr>
          <w:sz w:val="20"/>
          <w:szCs w:val="20"/>
          <w:highlight w:val="white"/>
        </w:rPr>
        <w:t>)</w:t>
      </w:r>
      <w:r>
        <w:rPr>
          <w:sz w:val="20"/>
          <w:szCs w:val="20"/>
          <w:shd w:val="clear" w:color="auto" w:fill="FDFDFD"/>
        </w:rPr>
        <w:t>. And higher scores represent greater skepticism and less concern about climate change. The “frame” variable consists of 0 and 1. 0 means people who read general articles and 1 means people who read framed articles.</w:t>
      </w:r>
    </w:p>
    <w:p w14:paraId="409B188B" w14:textId="77777777" w:rsidR="00F31296" w:rsidRDefault="00F31296">
      <w:pPr>
        <w:widowControl/>
        <w:spacing w:before="240" w:after="240" w:line="228" w:lineRule="auto"/>
        <w:jc w:val="both"/>
        <w:rPr>
          <w:sz w:val="20"/>
          <w:szCs w:val="20"/>
          <w:shd w:val="clear" w:color="auto" w:fill="FDFDFD"/>
        </w:rPr>
      </w:pPr>
    </w:p>
    <w:p w14:paraId="19095F85" w14:textId="77777777" w:rsidR="00F31296" w:rsidRDefault="00F31296">
      <w:pPr>
        <w:widowControl/>
        <w:spacing w:before="240" w:after="240" w:line="228" w:lineRule="auto"/>
        <w:jc w:val="both"/>
        <w:rPr>
          <w:sz w:val="20"/>
          <w:szCs w:val="20"/>
          <w:shd w:val="clear" w:color="auto" w:fill="FDFDFD"/>
        </w:rPr>
      </w:pPr>
    </w:p>
    <w:p w14:paraId="17A22EAF" w14:textId="77777777" w:rsidR="00F31296" w:rsidRDefault="00F31296">
      <w:pPr>
        <w:widowControl/>
        <w:spacing w:before="240" w:after="240" w:line="228" w:lineRule="auto"/>
        <w:jc w:val="both"/>
        <w:rPr>
          <w:sz w:val="20"/>
          <w:szCs w:val="20"/>
          <w:shd w:val="clear" w:color="auto" w:fill="FDFDFD"/>
        </w:rPr>
      </w:pPr>
    </w:p>
    <w:p w14:paraId="43E5C059" w14:textId="77777777" w:rsidR="00F31296" w:rsidRDefault="00F31296">
      <w:pPr>
        <w:widowControl/>
        <w:spacing w:before="240" w:after="240" w:line="228" w:lineRule="auto"/>
        <w:jc w:val="both"/>
        <w:rPr>
          <w:sz w:val="20"/>
          <w:szCs w:val="20"/>
          <w:shd w:val="clear" w:color="auto" w:fill="FDFDFD"/>
        </w:rPr>
      </w:pPr>
    </w:p>
    <w:p w14:paraId="6010E8D4" w14:textId="77777777" w:rsidR="00F31296" w:rsidRDefault="00F31296">
      <w:pPr>
        <w:widowControl/>
        <w:spacing w:before="240" w:after="240" w:line="228" w:lineRule="auto"/>
        <w:jc w:val="both"/>
        <w:rPr>
          <w:sz w:val="20"/>
          <w:szCs w:val="20"/>
          <w:shd w:val="clear" w:color="auto" w:fill="FDFDFD"/>
        </w:rPr>
      </w:pPr>
    </w:p>
    <w:p w14:paraId="03C0E656" w14:textId="77777777" w:rsidR="00F31296" w:rsidRDefault="00060E61">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690E9023" wp14:editId="6EBC8F11">
            <wp:extent cx="2867025" cy="1104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67025" cy="1104900"/>
                    </a:xfrm>
                    <a:prstGeom prst="rect">
                      <a:avLst/>
                    </a:prstGeom>
                    <a:ln/>
                  </pic:spPr>
                </pic:pic>
              </a:graphicData>
            </a:graphic>
          </wp:inline>
        </w:drawing>
      </w:r>
    </w:p>
    <w:p w14:paraId="1A511223" w14:textId="77777777" w:rsidR="00F31296" w:rsidRDefault="00060E61">
      <w:pPr>
        <w:widowControl/>
        <w:spacing w:before="240" w:after="240" w:line="228" w:lineRule="auto"/>
        <w:jc w:val="both"/>
        <w:rPr>
          <w:sz w:val="20"/>
          <w:szCs w:val="20"/>
          <w:shd w:val="clear" w:color="auto" w:fill="FDFDFD"/>
        </w:rPr>
      </w:pPr>
      <w:sdt>
        <w:sdtPr>
          <w:tag w:val="goog_rdk_1"/>
          <w:id w:val="-1951080066"/>
        </w:sdtPr>
        <w:sdtContent>
          <w:r>
            <w:rPr>
              <w:rFonts w:ascii="궁서" w:eastAsia="궁서" w:hAnsi="궁서" w:cs="궁서"/>
              <w:b/>
              <w:sz w:val="20"/>
              <w:szCs w:val="20"/>
              <w:shd w:val="clear" w:color="auto" w:fill="FDFDFD"/>
            </w:rPr>
            <w:t xml:space="preserve">Fig. (숫자)  </w:t>
          </w:r>
        </w:sdtContent>
      </w:sdt>
    </w:p>
    <w:p w14:paraId="33319897" w14:textId="77777777" w:rsidR="00F31296" w:rsidRDefault="00F31296">
      <w:pPr>
        <w:widowControl/>
        <w:spacing w:before="240" w:after="240" w:line="228" w:lineRule="auto"/>
        <w:jc w:val="both"/>
        <w:rPr>
          <w:sz w:val="20"/>
          <w:szCs w:val="20"/>
          <w:shd w:val="clear" w:color="auto" w:fill="FDFDFD"/>
        </w:rPr>
      </w:pPr>
    </w:p>
    <w:p w14:paraId="10B7A476"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skeptic and justify</w:t>
      </w:r>
    </w:p>
    <w:p w14:paraId="702D00E8" w14:textId="77777777" w:rsidR="00F31296" w:rsidRDefault="00060E61">
      <w:pPr>
        <w:widowControl/>
        <w:spacing w:before="240" w:after="240" w:line="228" w:lineRule="auto"/>
        <w:jc w:val="both"/>
        <w:rPr>
          <w:sz w:val="20"/>
          <w:szCs w:val="20"/>
          <w:shd w:val="clear" w:color="auto" w:fill="FDFDFD"/>
        </w:rPr>
      </w:pPr>
      <w:r>
        <w:rPr>
          <w:noProof/>
          <w:sz w:val="20"/>
          <w:szCs w:val="20"/>
          <w:shd w:val="clear" w:color="auto" w:fill="FDFDFD"/>
        </w:rPr>
        <w:lastRenderedPageBreak/>
        <w:drawing>
          <wp:inline distT="114300" distB="114300" distL="114300" distR="114300" wp14:anchorId="52C95EC9" wp14:editId="1246162C">
            <wp:extent cx="2867025" cy="101129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867025" cy="1011296"/>
                    </a:xfrm>
                    <a:prstGeom prst="rect">
                      <a:avLst/>
                    </a:prstGeom>
                    <a:ln/>
                  </pic:spPr>
                </pic:pic>
              </a:graphicData>
            </a:graphic>
          </wp:inline>
        </w:drawing>
      </w:r>
      <w:r>
        <w:rPr>
          <w:sz w:val="20"/>
          <w:szCs w:val="20"/>
          <w:shd w:val="clear" w:color="auto" w:fill="FDFDFD"/>
        </w:rPr>
        <w:t xml:space="preserve"> </w:t>
      </w: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5B7142A0" w14:textId="77777777" w:rsidR="00F31296" w:rsidRDefault="00060E61">
      <w:pPr>
        <w:widowControl/>
        <w:pBdr>
          <w:top w:val="nil"/>
          <w:left w:val="nil"/>
          <w:bottom w:val="nil"/>
          <w:right w:val="nil"/>
          <w:between w:val="nil"/>
        </w:pBdr>
        <w:spacing w:before="240" w:after="60" w:line="228" w:lineRule="auto"/>
        <w:rPr>
          <w:sz w:val="20"/>
          <w:szCs w:val="20"/>
          <w:shd w:val="clear" w:color="auto" w:fill="FDFDFD"/>
        </w:rPr>
      </w:pPr>
      <w:r>
        <w:rPr>
          <w:b/>
          <w:sz w:val="20"/>
          <w:szCs w:val="20"/>
          <w:shd w:val="clear" w:color="auto" w:fill="FDFDFD"/>
        </w:rPr>
        <w:t xml:space="preserve">Table2 </w:t>
      </w:r>
      <w:r>
        <w:rPr>
          <w:sz w:val="20"/>
          <w:szCs w:val="20"/>
          <w:shd w:val="clear" w:color="auto" w:fill="FDFDFD"/>
        </w:rPr>
        <w:t>Parameter estimates between skeptic + justify       and donate</w:t>
      </w:r>
      <w:r>
        <w:rPr>
          <w:noProof/>
          <w:sz w:val="20"/>
          <w:szCs w:val="20"/>
          <w:shd w:val="clear" w:color="auto" w:fill="FDFDFD"/>
        </w:rPr>
        <w:drawing>
          <wp:inline distT="114300" distB="114300" distL="114300" distR="114300" wp14:anchorId="25CD3E99" wp14:editId="4DE7384A">
            <wp:extent cx="2867025" cy="800019"/>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67025" cy="800019"/>
                    </a:xfrm>
                    <a:prstGeom prst="rect">
                      <a:avLst/>
                    </a:prstGeom>
                    <a:ln/>
                  </pic:spPr>
                </pic:pic>
              </a:graphicData>
            </a:graphic>
          </wp:inline>
        </w:drawing>
      </w:r>
    </w:p>
    <w:p w14:paraId="2315D7C8" w14:textId="77777777" w:rsidR="00F31296" w:rsidRDefault="00060E61">
      <w:pPr>
        <w:widowControl/>
        <w:pBdr>
          <w:top w:val="nil"/>
          <w:left w:val="nil"/>
          <w:bottom w:val="nil"/>
          <w:right w:val="nil"/>
          <w:between w:val="nil"/>
        </w:pBdr>
        <w:spacing w:before="240" w:after="60" w:line="228" w:lineRule="auto"/>
        <w:rPr>
          <w:sz w:val="20"/>
          <w:szCs w:val="20"/>
        </w:rPr>
      </w:pPr>
      <w:r>
        <w:rPr>
          <w:b/>
          <w:sz w:val="20"/>
          <w:szCs w:val="20"/>
        </w:rPr>
        <w:t xml:space="preserve">Table3 </w:t>
      </w:r>
      <w:r>
        <w:rPr>
          <w:sz w:val="20"/>
          <w:szCs w:val="20"/>
        </w:rPr>
        <w:t xml:space="preserve">Conditional effects of X and M on Y </w:t>
      </w:r>
    </w:p>
    <w:p w14:paraId="1803DD77" w14:textId="77777777" w:rsidR="00F31296" w:rsidRDefault="00060E61">
      <w:pPr>
        <w:widowControl/>
        <w:spacing w:before="240" w:after="60" w:line="228" w:lineRule="auto"/>
        <w:rPr>
          <w:b/>
          <w:sz w:val="20"/>
          <w:szCs w:val="20"/>
        </w:rPr>
      </w:pPr>
      <w:r>
        <w:rPr>
          <w:b/>
          <w:noProof/>
          <w:sz w:val="20"/>
          <w:szCs w:val="20"/>
        </w:rPr>
        <w:drawing>
          <wp:inline distT="114300" distB="114300" distL="114300" distR="114300" wp14:anchorId="3A675E60" wp14:editId="2A9C6D81">
            <wp:extent cx="2867025" cy="787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67025" cy="787400"/>
                    </a:xfrm>
                    <a:prstGeom prst="rect">
                      <a:avLst/>
                    </a:prstGeom>
                    <a:ln/>
                  </pic:spPr>
                </pic:pic>
              </a:graphicData>
            </a:graphic>
          </wp:inline>
        </w:drawing>
      </w: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152543FD" w14:textId="77777777" w:rsidR="00F31296" w:rsidRDefault="00060E61">
      <w:pPr>
        <w:widowControl/>
        <w:spacing w:before="240" w:after="60" w:line="228" w:lineRule="auto"/>
        <w:rPr>
          <w:b/>
          <w:sz w:val="20"/>
          <w:szCs w:val="20"/>
        </w:rPr>
      </w:pPr>
      <w:r>
        <w:rPr>
          <w:b/>
          <w:sz w:val="20"/>
          <w:szCs w:val="20"/>
        </w:rPr>
        <w:t>Table4</w:t>
      </w:r>
    </w:p>
    <w:p w14:paraId="51AE0BB0" w14:textId="77777777" w:rsidR="00F31296" w:rsidRDefault="00060E61">
      <w:pPr>
        <w:widowControl/>
        <w:spacing w:before="240" w:after="60" w:line="228" w:lineRule="auto"/>
        <w:rPr>
          <w:b/>
          <w:sz w:val="20"/>
          <w:szCs w:val="20"/>
        </w:rPr>
      </w:pPr>
      <w:r>
        <w:rPr>
          <w:b/>
          <w:noProof/>
          <w:sz w:val="20"/>
          <w:szCs w:val="20"/>
        </w:rPr>
        <w:drawing>
          <wp:inline distT="114300" distB="114300" distL="114300" distR="114300" wp14:anchorId="4E21C587" wp14:editId="00A3B9D1">
            <wp:extent cx="2867025" cy="8001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67025" cy="800100"/>
                    </a:xfrm>
                    <a:prstGeom prst="rect">
                      <a:avLst/>
                    </a:prstGeom>
                    <a:ln/>
                  </pic:spPr>
                </pic:pic>
              </a:graphicData>
            </a:graphic>
          </wp:inline>
        </w:drawing>
      </w: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13D8FD4D" w14:textId="7618BB3B" w:rsidR="00F31296" w:rsidRDefault="00917990">
      <w:pPr>
        <w:widowControl/>
        <w:spacing w:before="240" w:after="60" w:line="228" w:lineRule="auto"/>
        <w:rPr>
          <w:b/>
          <w:sz w:val="20"/>
          <w:szCs w:val="20"/>
        </w:rPr>
      </w:pPr>
      <w:r>
        <w:rPr>
          <w:b/>
          <w:sz w:val="20"/>
          <w:szCs w:val="20"/>
        </w:rPr>
        <w:t>5</w:t>
      </w:r>
      <w:r w:rsidR="00060E61">
        <w:rPr>
          <w:b/>
          <w:sz w:val="20"/>
          <w:szCs w:val="20"/>
        </w:rPr>
        <w:t>.2 Work-b Data</w:t>
      </w:r>
    </w:p>
    <w:p w14:paraId="067A4194" w14:textId="77777777" w:rsidR="00F31296" w:rsidRDefault="00060E61">
      <w:pPr>
        <w:widowControl/>
        <w:spacing w:before="240" w:after="240" w:line="228" w:lineRule="auto"/>
        <w:jc w:val="both"/>
        <w:rPr>
          <w:sz w:val="20"/>
          <w:szCs w:val="20"/>
          <w:shd w:val="clear" w:color="auto" w:fill="FDFDFD"/>
        </w:rPr>
      </w:pPr>
      <w:r>
        <w:rPr>
          <w:sz w:val="20"/>
          <w:szCs w:val="20"/>
          <w:shd w:val="clear" w:color="auto" w:fill="FDFDFD"/>
        </w:rPr>
        <w:t xml:space="preserve">This data was collected by authentic-happiness.com. Participants take an online survey to measure the work-life balance score. The "supporting" variable means the number of people that you have been helping for more than a year(0: None, 10: 10 people or more). The "donation" variable means how many times you donate your money or time more than a year(0: None, 5: 5 times or more). The “personal_awards” variable means how many achievements you are proud of in the past year.(0: None, 10: 10 achievements or more). The “wlbs” variable means the work-life balance score. The relation between these variables is shown in Fig. </w:t>
      </w:r>
    </w:p>
    <w:p w14:paraId="1B326CA3" w14:textId="77777777" w:rsidR="00F31296" w:rsidRDefault="00F31296">
      <w:pPr>
        <w:widowControl/>
        <w:spacing w:before="240" w:after="60" w:line="228" w:lineRule="auto"/>
        <w:rPr>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77777777" w:rsidR="00F31296" w:rsidRDefault="00060E61">
      <w:pPr>
        <w:widowControl/>
        <w:spacing w:before="240" w:after="240" w:line="228" w:lineRule="auto"/>
        <w:jc w:val="both"/>
        <w:rPr>
          <w:b/>
          <w:sz w:val="20"/>
          <w:szCs w:val="20"/>
          <w:shd w:val="clear" w:color="auto" w:fill="FDFDFD"/>
        </w:rPr>
      </w:pPr>
      <w:r>
        <w:rPr>
          <w:b/>
          <w:noProof/>
          <w:sz w:val="20"/>
          <w:szCs w:val="20"/>
          <w:shd w:val="clear" w:color="auto" w:fill="FDFDFD"/>
        </w:rPr>
        <w:drawing>
          <wp:inline distT="114300" distB="114300" distL="114300" distR="114300" wp14:anchorId="241C3E60" wp14:editId="6A91AC3C">
            <wp:extent cx="2867025" cy="14859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867025" cy="1485900"/>
                    </a:xfrm>
                    <a:prstGeom prst="rect">
                      <a:avLst/>
                    </a:prstGeom>
                    <a:ln/>
                  </pic:spPr>
                </pic:pic>
              </a:graphicData>
            </a:graphic>
          </wp:inline>
        </w:drawing>
      </w:r>
    </w:p>
    <w:p w14:paraId="3ED68350" w14:textId="77777777" w:rsidR="00F31296" w:rsidRDefault="00F31296">
      <w:pPr>
        <w:widowControl/>
        <w:spacing w:before="240" w:after="240" w:line="228" w:lineRule="auto"/>
        <w:jc w:val="both"/>
        <w:rPr>
          <w:b/>
          <w:sz w:val="20"/>
          <w:szCs w:val="20"/>
          <w:shd w:val="clear" w:color="auto" w:fill="FDFDFD"/>
        </w:rPr>
      </w:pPr>
    </w:p>
    <w:p w14:paraId="46785D58"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supporting and donation</w:t>
      </w:r>
    </w:p>
    <w:p w14:paraId="12A1C52D" w14:textId="77777777" w:rsidR="00F31296" w:rsidRDefault="00060E61">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71896A73" wp14:editId="3FC5AE78">
            <wp:extent cx="2867025" cy="9271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867025" cy="927100"/>
                    </a:xfrm>
                    <a:prstGeom prst="rect">
                      <a:avLst/>
                    </a:prstGeom>
                    <a:ln/>
                  </pic:spPr>
                </pic:pic>
              </a:graphicData>
            </a:graphic>
          </wp:inline>
        </w:drawing>
      </w:r>
    </w:p>
    <w:p w14:paraId="6315F868"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Table2</w:t>
      </w:r>
      <w:r>
        <w:rPr>
          <w:sz w:val="20"/>
          <w:szCs w:val="20"/>
          <w:shd w:val="clear" w:color="auto" w:fill="FDFDFD"/>
        </w:rPr>
        <w:t xml:space="preserve"> Parameter estimates between supporting and personal_awards</w:t>
      </w:r>
    </w:p>
    <w:p w14:paraId="5CE79C4D" w14:textId="77777777" w:rsidR="00F31296" w:rsidRDefault="00060E61">
      <w:pPr>
        <w:widowControl/>
        <w:spacing w:before="240" w:after="240" w:line="228" w:lineRule="auto"/>
        <w:jc w:val="both"/>
        <w:rPr>
          <w:sz w:val="20"/>
          <w:szCs w:val="20"/>
        </w:rPr>
      </w:pPr>
      <w:r>
        <w:rPr>
          <w:noProof/>
          <w:sz w:val="20"/>
          <w:szCs w:val="20"/>
          <w:shd w:val="clear" w:color="auto" w:fill="FDFDFD"/>
        </w:rPr>
        <w:lastRenderedPageBreak/>
        <w:drawing>
          <wp:inline distT="114300" distB="114300" distL="114300" distR="114300" wp14:anchorId="1DC312A1" wp14:editId="5FAE6694">
            <wp:extent cx="2867025"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867025" cy="901700"/>
                    </a:xfrm>
                    <a:prstGeom prst="rect">
                      <a:avLst/>
                    </a:prstGeom>
                    <a:ln/>
                  </pic:spPr>
                </pic:pic>
              </a:graphicData>
            </a:graphic>
          </wp:inline>
        </w:drawing>
      </w:r>
    </w:p>
    <w:p w14:paraId="3C640CBD" w14:textId="77777777" w:rsidR="00F31296" w:rsidRDefault="00060E61">
      <w:pPr>
        <w:widowControl/>
        <w:spacing w:before="240" w:after="240" w:line="228" w:lineRule="auto"/>
        <w:jc w:val="both"/>
        <w:rPr>
          <w:sz w:val="20"/>
          <w:szCs w:val="20"/>
        </w:rPr>
      </w:pPr>
      <w:r>
        <w:rPr>
          <w:b/>
          <w:sz w:val="20"/>
          <w:szCs w:val="20"/>
          <w:shd w:val="clear" w:color="auto" w:fill="FDFDFD"/>
        </w:rPr>
        <w:t>Table3</w:t>
      </w:r>
      <w:r>
        <w:rPr>
          <w:sz w:val="20"/>
          <w:szCs w:val="20"/>
          <w:shd w:val="clear" w:color="auto" w:fill="FDFDFD"/>
        </w:rPr>
        <w:t xml:space="preserve"> Parameter estimates between supporting + donation + personal_awards and work-life balance score</w:t>
      </w:r>
      <w:r>
        <w:rPr>
          <w:noProof/>
          <w:sz w:val="20"/>
          <w:szCs w:val="20"/>
          <w:shd w:val="clear" w:color="auto" w:fill="FDFDFD"/>
        </w:rPr>
        <w:drawing>
          <wp:inline distT="114300" distB="114300" distL="114300" distR="114300" wp14:anchorId="40A22F88" wp14:editId="2906403C">
            <wp:extent cx="2867025" cy="11578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867025" cy="1157830"/>
                    </a:xfrm>
                    <a:prstGeom prst="rect">
                      <a:avLst/>
                    </a:prstGeom>
                    <a:ln/>
                  </pic:spPr>
                </pic:pic>
              </a:graphicData>
            </a:graphic>
          </wp:inline>
        </w:drawing>
      </w:r>
    </w:p>
    <w:p w14:paraId="65499589" w14:textId="77777777" w:rsidR="00F31296" w:rsidRDefault="00F31296">
      <w:pPr>
        <w:widowControl/>
        <w:pBdr>
          <w:top w:val="nil"/>
          <w:left w:val="nil"/>
          <w:bottom w:val="nil"/>
          <w:right w:val="nil"/>
          <w:between w:val="nil"/>
        </w:pBdr>
        <w:spacing w:before="240" w:after="60" w:line="228" w:lineRule="auto"/>
        <w:rPr>
          <w:sz w:val="20"/>
          <w:szCs w:val="20"/>
        </w:rPr>
      </w:pPr>
    </w:p>
    <w:p w14:paraId="52FA91AB"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Table4</w:t>
      </w:r>
      <w:r>
        <w:rPr>
          <w:sz w:val="20"/>
          <w:szCs w:val="20"/>
          <w:shd w:val="clear" w:color="auto" w:fill="FDFDFD"/>
        </w:rPr>
        <w:t xml:space="preserve"> Effects of the supporting on work-life balance score under donation and personal_awards</w:t>
      </w:r>
    </w:p>
    <w:p w14:paraId="71B33259" w14:textId="77777777" w:rsidR="00F31296" w:rsidRDefault="00060E61">
      <w:pPr>
        <w:widowControl/>
        <w:spacing w:before="240" w:after="60" w:line="228" w:lineRule="auto"/>
        <w:rPr>
          <w:sz w:val="20"/>
          <w:szCs w:val="20"/>
        </w:rPr>
      </w:pPr>
      <w:r>
        <w:rPr>
          <w:noProof/>
          <w:sz w:val="20"/>
          <w:szCs w:val="20"/>
        </w:rPr>
        <w:drawing>
          <wp:inline distT="114300" distB="114300" distL="114300" distR="114300" wp14:anchorId="6FDB10BD" wp14:editId="421E25C9">
            <wp:extent cx="2867025" cy="111736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867025" cy="1117364"/>
                    </a:xfrm>
                    <a:prstGeom prst="rect">
                      <a:avLst/>
                    </a:prstGeom>
                    <a:ln/>
                  </pic:spPr>
                </pic:pic>
              </a:graphicData>
            </a:graphic>
          </wp:inline>
        </w:drawing>
      </w:r>
    </w:p>
    <w:p w14:paraId="029F6963" w14:textId="77777777" w:rsidR="00F31296" w:rsidRDefault="00060E61">
      <w:pPr>
        <w:widowControl/>
        <w:spacing w:before="240" w:after="240" w:line="228" w:lineRule="auto"/>
        <w:jc w:val="both"/>
        <w:rPr>
          <w:sz w:val="20"/>
          <w:szCs w:val="20"/>
        </w:rPr>
      </w:pPr>
      <w:r>
        <w:rPr>
          <w:b/>
          <w:sz w:val="20"/>
          <w:szCs w:val="20"/>
          <w:shd w:val="clear" w:color="auto" w:fill="FDFDFD"/>
        </w:rPr>
        <w:t xml:space="preserve">Table5 </w:t>
      </w:r>
      <w:r>
        <w:rPr>
          <w:sz w:val="20"/>
          <w:szCs w:val="20"/>
          <w:shd w:val="clear" w:color="auto" w:fill="FDFDFD"/>
        </w:rPr>
        <w:t xml:space="preserve"> </w:t>
      </w:r>
    </w:p>
    <w:p w14:paraId="389AA18E" w14:textId="77777777" w:rsidR="00F31296" w:rsidRDefault="00F31296">
      <w:pPr>
        <w:widowControl/>
        <w:pBdr>
          <w:top w:val="nil"/>
          <w:left w:val="nil"/>
          <w:bottom w:val="nil"/>
          <w:right w:val="nil"/>
          <w:between w:val="nil"/>
        </w:pBdr>
        <w:spacing w:before="240" w:after="60" w:line="228" w:lineRule="auto"/>
        <w:rPr>
          <w:sz w:val="20"/>
          <w:szCs w:val="20"/>
        </w:rPr>
      </w:pPr>
    </w:p>
    <w:p w14:paraId="1F348CF9" w14:textId="77777777" w:rsidR="00F31296" w:rsidRDefault="00F31296">
      <w:pPr>
        <w:widowControl/>
        <w:spacing w:before="240" w:after="60" w:line="228" w:lineRule="auto"/>
        <w:rPr>
          <w:sz w:val="20"/>
          <w:szCs w:val="20"/>
        </w:rPr>
      </w:pPr>
    </w:p>
    <w:p w14:paraId="3E10E268" w14:textId="77777777" w:rsidR="00F31296" w:rsidRDefault="00060E61">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99C6511" wp14:editId="1FDDF6DF">
            <wp:extent cx="2867025" cy="800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2867025" cy="800100"/>
                    </a:xfrm>
                    <a:prstGeom prst="rect">
                      <a:avLst/>
                    </a:prstGeom>
                    <a:ln/>
                  </pic:spPr>
                </pic:pic>
              </a:graphicData>
            </a:graphic>
          </wp:inline>
        </w:drawing>
      </w:r>
    </w:p>
    <w:p w14:paraId="28CA813B" w14:textId="77777777" w:rsidR="00F31296" w:rsidRDefault="00F31296">
      <w:pPr>
        <w:widowControl/>
        <w:spacing w:before="240" w:after="240" w:line="228" w:lineRule="auto"/>
        <w:jc w:val="both"/>
        <w:rPr>
          <w:sz w:val="20"/>
          <w:szCs w:val="20"/>
        </w:rPr>
      </w:pPr>
    </w:p>
    <w:p w14:paraId="7BCC78EA" w14:textId="77777777" w:rsidR="00F31296" w:rsidRDefault="00F31296">
      <w:pPr>
        <w:widowControl/>
        <w:pBdr>
          <w:top w:val="nil"/>
          <w:left w:val="nil"/>
          <w:bottom w:val="nil"/>
          <w:right w:val="nil"/>
          <w:between w:val="nil"/>
        </w:pBdr>
        <w:spacing w:before="240" w:after="60" w:line="228" w:lineRule="auto"/>
        <w:rPr>
          <w:sz w:val="20"/>
          <w:szCs w:val="20"/>
        </w:rPr>
      </w:pPr>
    </w:p>
    <w:p w14:paraId="6E47A9F5" w14:textId="77777777" w:rsidR="00F31296" w:rsidRDefault="00F31296">
      <w:pPr>
        <w:widowControl/>
        <w:pBdr>
          <w:top w:val="nil"/>
          <w:left w:val="nil"/>
          <w:bottom w:val="nil"/>
          <w:right w:val="nil"/>
          <w:between w:val="nil"/>
        </w:pBdr>
        <w:spacing w:before="240" w:after="60" w:line="228" w:lineRule="auto"/>
        <w:rPr>
          <w:sz w:val="20"/>
          <w:szCs w:val="20"/>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5FE88534" w14:textId="77777777" w:rsidR="00F31296" w:rsidRDefault="00F31296">
      <w:pPr>
        <w:widowControl/>
        <w:pBdr>
          <w:top w:val="nil"/>
          <w:left w:val="nil"/>
          <w:bottom w:val="nil"/>
          <w:right w:val="nil"/>
          <w:between w:val="nil"/>
        </w:pBdr>
        <w:spacing w:before="240" w:after="60" w:line="228" w:lineRule="auto"/>
        <w:rPr>
          <w:b/>
          <w:sz w:val="20"/>
          <w:szCs w:val="20"/>
        </w:rPr>
      </w:pPr>
    </w:p>
    <w:p w14:paraId="764B1678" w14:textId="77777777" w:rsidR="00F31296" w:rsidRDefault="00F31296">
      <w:pPr>
        <w:widowControl/>
        <w:pBdr>
          <w:top w:val="nil"/>
          <w:left w:val="nil"/>
          <w:bottom w:val="nil"/>
          <w:right w:val="nil"/>
          <w:between w:val="nil"/>
        </w:pBdr>
        <w:spacing w:before="240" w:after="60" w:line="228" w:lineRule="auto"/>
        <w:rPr>
          <w:b/>
          <w:sz w:val="20"/>
          <w:szCs w:val="20"/>
        </w:rPr>
      </w:pPr>
    </w:p>
    <w:p w14:paraId="39AA0017" w14:textId="77777777" w:rsidR="00F31296" w:rsidRDefault="00F31296">
      <w:pPr>
        <w:widowControl/>
        <w:pBdr>
          <w:top w:val="nil"/>
          <w:left w:val="nil"/>
          <w:bottom w:val="nil"/>
          <w:right w:val="nil"/>
          <w:between w:val="nil"/>
        </w:pBdr>
        <w:spacing w:before="240" w:after="60" w:line="228" w:lineRule="auto"/>
        <w:rPr>
          <w:b/>
          <w:sz w:val="20"/>
          <w:szCs w:val="20"/>
        </w:rPr>
      </w:pPr>
    </w:p>
    <w:p w14:paraId="49D24DFE" w14:textId="77777777" w:rsidR="00F31296" w:rsidRDefault="00F31296">
      <w:pPr>
        <w:widowControl/>
        <w:pBdr>
          <w:top w:val="nil"/>
          <w:left w:val="nil"/>
          <w:bottom w:val="nil"/>
          <w:right w:val="nil"/>
          <w:between w:val="nil"/>
        </w:pBdr>
        <w:spacing w:before="240" w:after="60" w:line="228" w:lineRule="auto"/>
        <w:rPr>
          <w:b/>
          <w:sz w:val="20"/>
          <w:szCs w:val="20"/>
        </w:rPr>
      </w:pPr>
    </w:p>
    <w:p w14:paraId="2406E8BC" w14:textId="77777777" w:rsidR="00F31296" w:rsidRDefault="00F31296">
      <w:pPr>
        <w:widowControl/>
        <w:pBdr>
          <w:top w:val="nil"/>
          <w:left w:val="nil"/>
          <w:bottom w:val="nil"/>
          <w:right w:val="nil"/>
          <w:between w:val="nil"/>
        </w:pBdr>
        <w:spacing w:before="240" w:after="60" w:line="228" w:lineRule="auto"/>
        <w:rPr>
          <w:b/>
          <w:sz w:val="20"/>
          <w:szCs w:val="20"/>
        </w:rPr>
      </w:pPr>
    </w:p>
    <w:p w14:paraId="381B3782" w14:textId="77777777" w:rsidR="00F31296" w:rsidRDefault="00F31296">
      <w:pPr>
        <w:widowControl/>
        <w:pBdr>
          <w:top w:val="nil"/>
          <w:left w:val="nil"/>
          <w:bottom w:val="nil"/>
          <w:right w:val="nil"/>
          <w:between w:val="nil"/>
        </w:pBdr>
        <w:spacing w:before="240" w:after="60" w:line="228" w:lineRule="auto"/>
        <w:rPr>
          <w:b/>
          <w:sz w:val="20"/>
          <w:szCs w:val="20"/>
        </w:rPr>
      </w:pPr>
    </w:p>
    <w:p w14:paraId="072D4D72" w14:textId="77777777" w:rsidR="00F31296" w:rsidRDefault="00F31296">
      <w:pPr>
        <w:widowControl/>
        <w:pBdr>
          <w:top w:val="nil"/>
          <w:left w:val="nil"/>
          <w:bottom w:val="nil"/>
          <w:right w:val="nil"/>
          <w:between w:val="nil"/>
        </w:pBdr>
        <w:spacing w:before="240" w:after="60" w:line="228" w:lineRule="auto"/>
        <w:rPr>
          <w:b/>
          <w:sz w:val="20"/>
          <w:szCs w:val="20"/>
        </w:rPr>
      </w:pPr>
    </w:p>
    <w:p w14:paraId="7000D25F" w14:textId="77777777" w:rsidR="00F31296" w:rsidRDefault="00F31296">
      <w:pPr>
        <w:widowControl/>
        <w:pBdr>
          <w:top w:val="nil"/>
          <w:left w:val="nil"/>
          <w:bottom w:val="nil"/>
          <w:right w:val="nil"/>
          <w:between w:val="nil"/>
        </w:pBdr>
        <w:spacing w:before="240" w:after="60" w:line="228" w:lineRule="auto"/>
        <w:rPr>
          <w:b/>
          <w:sz w:val="20"/>
          <w:szCs w:val="20"/>
        </w:rPr>
      </w:pPr>
    </w:p>
    <w:p w14:paraId="6A937D0C" w14:textId="77777777" w:rsidR="00F31296" w:rsidRDefault="00F31296">
      <w:pPr>
        <w:widowControl/>
        <w:pBdr>
          <w:top w:val="nil"/>
          <w:left w:val="nil"/>
          <w:bottom w:val="nil"/>
          <w:right w:val="nil"/>
          <w:between w:val="nil"/>
        </w:pBdr>
        <w:spacing w:before="240" w:after="60" w:line="228" w:lineRule="auto"/>
        <w:rPr>
          <w:b/>
          <w:sz w:val="20"/>
          <w:szCs w:val="20"/>
        </w:rPr>
      </w:pPr>
    </w:p>
    <w:p w14:paraId="37311CFC" w14:textId="77777777" w:rsidR="00F31296" w:rsidRDefault="00F31296">
      <w:pPr>
        <w:widowControl/>
        <w:pBdr>
          <w:top w:val="nil"/>
          <w:left w:val="nil"/>
          <w:bottom w:val="nil"/>
          <w:right w:val="nil"/>
          <w:between w:val="nil"/>
        </w:pBdr>
        <w:spacing w:before="240" w:after="60" w:line="228" w:lineRule="auto"/>
        <w:rPr>
          <w:b/>
          <w:sz w:val="20"/>
          <w:szCs w:val="20"/>
        </w:rPr>
      </w:pPr>
    </w:p>
    <w:p w14:paraId="7231D167" w14:textId="77777777" w:rsidR="00F31296" w:rsidRDefault="00F31296">
      <w:pPr>
        <w:widowControl/>
        <w:pBdr>
          <w:top w:val="nil"/>
          <w:left w:val="nil"/>
          <w:bottom w:val="nil"/>
          <w:right w:val="nil"/>
          <w:between w:val="nil"/>
        </w:pBdr>
        <w:spacing w:before="240" w:after="60" w:line="228" w:lineRule="auto"/>
        <w:rPr>
          <w:b/>
          <w:sz w:val="20"/>
          <w:szCs w:val="20"/>
        </w:rPr>
      </w:pPr>
    </w:p>
    <w:p w14:paraId="7C3B3ECC" w14:textId="77777777" w:rsidR="00F31296" w:rsidRDefault="00F31296">
      <w:pPr>
        <w:widowControl/>
        <w:pBdr>
          <w:top w:val="nil"/>
          <w:left w:val="nil"/>
          <w:bottom w:val="nil"/>
          <w:right w:val="nil"/>
          <w:between w:val="nil"/>
        </w:pBdr>
        <w:spacing w:before="240" w:after="60" w:line="228" w:lineRule="auto"/>
        <w:rPr>
          <w:b/>
          <w:sz w:val="20"/>
          <w:szCs w:val="20"/>
        </w:rPr>
      </w:pPr>
    </w:p>
    <w:p w14:paraId="07E504FC" w14:textId="77777777" w:rsidR="00F31296" w:rsidRDefault="00F31296">
      <w:pPr>
        <w:widowControl/>
        <w:pBdr>
          <w:top w:val="nil"/>
          <w:left w:val="nil"/>
          <w:bottom w:val="nil"/>
          <w:right w:val="nil"/>
          <w:between w:val="nil"/>
        </w:pBdr>
        <w:spacing w:before="240" w:after="60" w:line="228" w:lineRule="auto"/>
        <w:rPr>
          <w:b/>
          <w:sz w:val="20"/>
          <w:szCs w:val="20"/>
        </w:rPr>
        <w:sectPr w:rsidR="00F31296">
          <w:type w:val="continuous"/>
          <w:pgSz w:w="11910" w:h="16840"/>
          <w:pgMar w:top="1440" w:right="1080" w:bottom="1440" w:left="1080" w:header="720" w:footer="720" w:gutter="0"/>
          <w:cols w:num="2" w:space="720" w:equalWidth="0">
            <w:col w:w="4512" w:space="720"/>
            <w:col w:w="4512" w:space="0"/>
          </w:cols>
        </w:sectPr>
      </w:pPr>
    </w:p>
    <w:p w14:paraId="77FCE82C" w14:textId="77777777" w:rsidR="00F31296" w:rsidRDefault="00F31296">
      <w:pPr>
        <w:widowControl/>
        <w:pBdr>
          <w:top w:val="nil"/>
          <w:left w:val="nil"/>
          <w:bottom w:val="nil"/>
          <w:right w:val="nil"/>
          <w:between w:val="nil"/>
        </w:pBdr>
        <w:spacing w:before="240" w:after="60" w:line="228" w:lineRule="auto"/>
        <w:rPr>
          <w:b/>
          <w:sz w:val="20"/>
          <w:szCs w:val="20"/>
        </w:rPr>
      </w:pPr>
    </w:p>
    <w:p w14:paraId="3C63DBC4" w14:textId="77777777" w:rsidR="00F31296" w:rsidRDefault="00F31296">
      <w:pPr>
        <w:widowControl/>
        <w:pBdr>
          <w:top w:val="nil"/>
          <w:left w:val="nil"/>
          <w:bottom w:val="nil"/>
          <w:right w:val="nil"/>
          <w:between w:val="nil"/>
        </w:pBdr>
        <w:spacing w:before="240" w:after="60" w:line="228" w:lineRule="auto"/>
        <w:rPr>
          <w:b/>
          <w:sz w:val="20"/>
          <w:szCs w:val="20"/>
        </w:rPr>
      </w:pPr>
    </w:p>
    <w:p w14:paraId="5DF2CABD" w14:textId="77777777" w:rsidR="00F31296" w:rsidRDefault="00F31296">
      <w:pPr>
        <w:widowControl/>
        <w:pBdr>
          <w:top w:val="nil"/>
          <w:left w:val="nil"/>
          <w:bottom w:val="nil"/>
          <w:right w:val="nil"/>
          <w:between w:val="nil"/>
        </w:pBdr>
        <w:spacing w:before="240" w:after="60" w:line="228" w:lineRule="auto"/>
        <w:rPr>
          <w:b/>
          <w:sz w:val="20"/>
          <w:szCs w:val="20"/>
        </w:rPr>
      </w:pPr>
    </w:p>
    <w:p w14:paraId="46589B03" w14:textId="77777777" w:rsidR="00F31296" w:rsidRDefault="00F31296">
      <w:pPr>
        <w:widowControl/>
        <w:pBdr>
          <w:top w:val="nil"/>
          <w:left w:val="nil"/>
          <w:bottom w:val="nil"/>
          <w:right w:val="nil"/>
          <w:between w:val="nil"/>
        </w:pBdr>
        <w:spacing w:before="240" w:after="60" w:line="228" w:lineRule="auto"/>
        <w:rPr>
          <w:b/>
          <w:sz w:val="20"/>
          <w:szCs w:val="20"/>
        </w:rPr>
      </w:pPr>
    </w:p>
    <w:p w14:paraId="503FA093" w14:textId="77777777" w:rsidR="00F31296" w:rsidRDefault="00F31296">
      <w:pPr>
        <w:widowControl/>
        <w:pBdr>
          <w:top w:val="nil"/>
          <w:left w:val="nil"/>
          <w:bottom w:val="nil"/>
          <w:right w:val="nil"/>
          <w:between w:val="nil"/>
        </w:pBdr>
        <w:spacing w:before="240" w:after="60" w:line="228" w:lineRule="auto"/>
        <w:rPr>
          <w:b/>
          <w:sz w:val="20"/>
          <w:szCs w:val="20"/>
        </w:rPr>
      </w:pPr>
    </w:p>
    <w:p w14:paraId="3400031E" w14:textId="77777777" w:rsidR="00F31296" w:rsidRDefault="00F31296">
      <w:pPr>
        <w:widowControl/>
        <w:pBdr>
          <w:top w:val="nil"/>
          <w:left w:val="nil"/>
          <w:bottom w:val="nil"/>
          <w:right w:val="nil"/>
          <w:between w:val="nil"/>
        </w:pBdr>
        <w:spacing w:before="240" w:after="60" w:line="228" w:lineRule="auto"/>
        <w:rPr>
          <w:b/>
          <w:sz w:val="20"/>
          <w:szCs w:val="20"/>
        </w:rPr>
      </w:pPr>
    </w:p>
    <w:p w14:paraId="7F8455F5" w14:textId="77777777" w:rsidR="00F31296" w:rsidRDefault="00F31296">
      <w:pPr>
        <w:widowControl/>
        <w:pBdr>
          <w:top w:val="nil"/>
          <w:left w:val="nil"/>
          <w:bottom w:val="nil"/>
          <w:right w:val="nil"/>
          <w:between w:val="nil"/>
        </w:pBdr>
        <w:spacing w:before="240" w:after="60" w:line="228" w:lineRule="auto"/>
        <w:rPr>
          <w:b/>
          <w:sz w:val="20"/>
          <w:szCs w:val="20"/>
        </w:rPr>
      </w:pPr>
    </w:p>
    <w:p w14:paraId="12E2A3D3" w14:textId="77777777" w:rsidR="00F31296" w:rsidRDefault="00F31296">
      <w:pPr>
        <w:widowControl/>
        <w:pBdr>
          <w:top w:val="nil"/>
          <w:left w:val="nil"/>
          <w:bottom w:val="nil"/>
          <w:right w:val="nil"/>
          <w:between w:val="nil"/>
        </w:pBdr>
        <w:spacing w:before="240" w:after="60" w:line="228" w:lineRule="auto"/>
        <w:rPr>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Korea(NRF) grant </w:t>
      </w:r>
      <w:r>
        <w:rPr>
          <w:color w:val="000000"/>
          <w:sz w:val="20"/>
          <w:szCs w:val="20"/>
        </w:rPr>
        <w:lastRenderedPageBreak/>
        <w:t>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DB2A" w14:textId="77777777" w:rsidR="00F0563A" w:rsidRDefault="00F0563A">
      <w:r>
        <w:separator/>
      </w:r>
    </w:p>
  </w:endnote>
  <w:endnote w:type="continuationSeparator" w:id="0">
    <w:p w14:paraId="2622D37B" w14:textId="77777777" w:rsidR="00F0563A" w:rsidRDefault="00F0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roman"/>
    <w:pitch w:val="variable"/>
    <w:sig w:usb0="01000001"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5670" w14:textId="77777777" w:rsidR="00F0563A" w:rsidRDefault="00F0563A">
      <w:r>
        <w:separator/>
      </w:r>
    </w:p>
  </w:footnote>
  <w:footnote w:type="continuationSeparator" w:id="0">
    <w:p w14:paraId="7EFFFCB1" w14:textId="77777777" w:rsidR="00F0563A" w:rsidRDefault="00F05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F5114"/>
    <w:rsid w:val="00186BA0"/>
    <w:rsid w:val="004C72ED"/>
    <w:rsid w:val="00917990"/>
    <w:rsid w:val="00B52515"/>
    <w:rsid w:val="00B76C8F"/>
    <w:rsid w:val="00DF1512"/>
    <w:rsid w:val="00E652EB"/>
    <w:rsid w:val="00E70C8A"/>
    <w:rsid w:val="00E82706"/>
    <w:rsid w:val="00F0563A"/>
    <w:rsid w:val="00F31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4397</Words>
  <Characters>25065</Characters>
  <Application>Microsoft Office Word</Application>
  <DocSecurity>0</DocSecurity>
  <Lines>208</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cp:revision>
  <dcterms:created xsi:type="dcterms:W3CDTF">2023-01-20T06:51:00Z</dcterms:created>
  <dcterms:modified xsi:type="dcterms:W3CDTF">2023-02-16T05:30:00Z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