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F3952">
      <w:pPr>
        <w:pStyle w:val="3"/>
        <w:bidi w:val="0"/>
      </w:pPr>
      <w:bookmarkStart w:id="0" w:name="附录本文与si等-2024-工作的逐项对比"/>
      <w:r>
        <w:rPr>
          <w:rFonts w:hint="eastAsia"/>
        </w:rPr>
        <w:t>附录：本文与Si等</w:t>
      </w:r>
      <w:r>
        <w:t xml:space="preserve"> (2024) </w:t>
      </w:r>
      <w:r>
        <w:rPr>
          <w:rFonts w:hint="eastAsia"/>
        </w:rPr>
        <w:t>工作的对比</w:t>
      </w:r>
    </w:p>
    <w:p w14:paraId="43855A43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firstLine="420" w:firstLineChars="200"/>
        <w:jc w:val="left"/>
      </w:pPr>
      <w:r>
        <w:rPr>
          <w:rFonts w:hint="eastAsia"/>
        </w:rPr>
        <w:t>对比对象：Si</w:t>
      </w:r>
      <w:r>
        <w:t xml:space="preserve"> J, Yang S, Cen Y, et al. Energy-efficient superparamagnetic Ising machine and its application to traveling salesman problems. Nature Communications, 2024, 15: 3457. DOI: </w:t>
      </w:r>
      <w:r>
        <w:rPr>
          <w:rFonts w:hint="eastAsia"/>
        </w:rPr>
        <w:t>10.1038/s41467-024-47818-z。以下“该文”指此论文，“本文”指本论文</w:t>
      </w:r>
      <w:r>
        <w:t xml:space="preserve"> </w:t>
      </w:r>
      <w:r>
        <w:rPr>
          <w:rFonts w:hint="eastAsia"/>
        </w:rPr>
        <w:t>(章节号按修改稿)。</w:t>
      </w:r>
    </w:p>
    <w:p w14:paraId="3D40133A">
      <w:pPr>
        <w:pStyle w:val="5"/>
        <w:bidi w:val="0"/>
      </w:pPr>
      <w:bookmarkStart w:id="1" w:name="工作性质系统实验演示-对-跨层评估方法"/>
      <w:r>
        <w:t xml:space="preserve">1. </w:t>
      </w:r>
      <w:r>
        <w:rPr>
          <w:rFonts w:hint="eastAsia"/>
        </w:rPr>
        <w:t>工作性质</w:t>
      </w:r>
    </w:p>
    <w:p w14:paraId="081DE7D6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firstLine="420" w:firstLineChars="200"/>
        <w:jc w:val="left"/>
      </w:pPr>
      <w:r>
        <w:rPr>
          <w:rFonts w:hint="eastAsia"/>
        </w:rPr>
        <w:t>该文的贡献是一台可运行的硬件系统加一套问题压缩算法：80器件PCB实验、GP-CTSP分解、交叉杆架构提议，主张以有限硬件低功耗求解大规模问题。本文的贡献是可复现的跨层评估方法与设计规则：同一组实例、退火协议与随机种子贯通算法、器件、电路三层，输出的是灵敏度排序、归一化容差与口径修正</w:t>
      </w:r>
      <w:r>
        <w:t xml:space="preserve"> </w:t>
      </w:r>
      <w:r>
        <w:rPr>
          <w:rFonts w:hint="eastAsia"/>
        </w:rPr>
        <w:t>(3.6节明确“不是已经完成的阵列芯片性能”)。两者不构成同类竞争：该文回答“这套系统能做到什么”，本文回答“这类系统的性能由哪些因素决定、各留多少裕度”。</w:t>
      </w:r>
    </w:p>
    <w:bookmarkEnd w:id="1"/>
    <w:p w14:paraId="35C7D352">
      <w:pPr>
        <w:pStyle w:val="5"/>
        <w:bidi w:val="0"/>
      </w:pPr>
      <w:bookmarkStart w:id="2" w:name="器件与随机性的使用方式直流自由涨落-对-纳秒脉冲概率写入"/>
      <w:r>
        <w:t xml:space="preserve">2. </w:t>
      </w:r>
      <w:r>
        <w:rPr>
          <w:rFonts w:hint="eastAsia"/>
        </w:rPr>
        <w:t>器件与随机性的使用方式</w:t>
      </w:r>
    </w:p>
    <w:p w14:paraId="7607ECE3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firstLine="420" w:firstLineChars="200"/>
        <w:jc w:val="left"/>
      </w:pPr>
      <w:r>
        <w:rPr>
          <w:rFonts w:hint="eastAsia"/>
        </w:rPr>
        <w:t>该文器件是两端垂直sMTJ，在直流偏置下持续热涨落，以0.1</w:t>
      </w:r>
      <w:r>
        <w:t xml:space="preserve"> </w:t>
      </w:r>
      <w:r>
        <w:rPr>
          <w:rFonts w:hint="eastAsia"/>
        </w:rPr>
        <w:t>ms量级的保持时间为节拍被动读出，随机性以“连续涨落加慢读出”的方式进入系统，主频被保持时间锁定在10</w:t>
      </w:r>
      <w:r>
        <w:t xml:space="preserve"> </w:t>
      </w:r>
      <w:r>
        <w:rPr>
          <w:rFonts w:hint="eastAsia"/>
        </w:rPr>
        <w:t>kHz。本文器件是第二章实测标定的SOT脉冲写入型sMTJ：每次更新是“复位加0.75</w:t>
      </w:r>
      <w:r>
        <w:t xml:space="preserve"> </w:t>
      </w:r>
      <w:r>
        <w:rPr>
          <w:rFonts w:hint="eastAsia"/>
        </w:rPr>
        <w:t>ns概率写”的同步时钟化事件，随机性以纳秒脉冲伯努利采样的方式进入，更新周期由外围建立时间主导</w:t>
      </w:r>
      <w:r>
        <w:t xml:space="preserve"> </w:t>
      </w:r>
      <w:r>
        <w:rPr>
          <w:rFonts w:hint="eastAsia"/>
        </w:rPr>
        <w:t>(约14</w:t>
      </w:r>
      <w:r>
        <w:t xml:space="preserve"> </w:t>
      </w:r>
      <w:r>
        <w:rPr>
          <w:rFonts w:hint="eastAsia"/>
        </w:rPr>
        <w:t>ns)。两种机制的速度-能量包络相差数个数量级：按该文实验口径折算，每自旋每迭代约0.8</w:t>
      </w:r>
      <w:r>
        <w:t xml:space="preserve"> nJ (0.64 mW÷10 </w:t>
      </w:r>
      <w:r>
        <w:rPr>
          <w:rFonts w:hint="eastAsia"/>
        </w:rPr>
        <w:t>kHz÷80)，而本文端到端口径为每更新14.7</w:t>
      </w:r>
      <w:r>
        <w:t xml:space="preserve"> pJ (</w:t>
      </w:r>
      <m:oMath>
        <m:r>
          <m:rPr/>
          <m:t>k</m:t>
        </m:r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、功率门控)。工作点不同，两组能量数字不可直接比较。</w:t>
      </w:r>
    </w:p>
    <w:bookmarkEnd w:id="2"/>
    <w:p w14:paraId="60EFFD42">
      <w:pPr>
        <w:pStyle w:val="5"/>
        <w:bidi w:val="0"/>
      </w:pPr>
      <w:bookmarkStart w:id="3" w:name="退火与采样规则本征退火叙事-对-受控算法对照"/>
      <w:r>
        <w:t xml:space="preserve">3. </w:t>
      </w:r>
      <w:r>
        <w:rPr>
          <w:rFonts w:hint="eastAsia"/>
        </w:rPr>
        <w:t>退火与采样规则</w:t>
      </w:r>
    </w:p>
    <w:p w14:paraId="761FA2EF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firstLine="420" w:firstLineChars="200"/>
        <w:jc w:val="left"/>
      </w:pPr>
      <w:r>
        <w:rPr>
          <w:rFonts w:hint="eastAsia"/>
        </w:rPr>
        <w:t>该文把优势归因于器件本征随机性省去随机数生成与Metropolis判决的实现资源，属能效与资源叙事，未在同一框架内对照不同采样规则的算法效率。本文3.3.1节的受控对照</w:t>
      </w:r>
      <w:r>
        <w:t xml:space="preserve"> </w:t>
      </w:r>
      <w:r>
        <w:rPr>
          <w:rFonts w:hint="eastAsia"/>
        </w:rPr>
        <w:t>(共享调度、扫数与种子，只换单步规则)</w:t>
      </w:r>
      <w:r>
        <w:t xml:space="preserve"> </w:t>
      </w:r>
      <w:r>
        <w:rPr>
          <w:rFonts w:hint="eastAsia"/>
        </w:rPr>
        <w:t>给出明确的算法层零结果：Gibbs条件采样相对Metropolis-SA没有可分辨加速，G1上还有与Peskun排序方向一致的小幅劣势，G22的表观3.71×加速经统计功效审计后不成立。两个结论相容但层次不同：器件省去随机数生成的资源收益是实现层的，本文证明它不叠加算法层加速，因此收益成立与否完全取决于外围开销的口径核算</w:t>
      </w:r>
      <w:r>
        <w:t xml:space="preserve"> </w:t>
      </w:r>
      <w:r>
        <w:rPr>
          <w:rFonts w:hint="eastAsia"/>
        </w:rPr>
        <w:t>(见第5条)。</w:t>
      </w:r>
    </w:p>
    <w:bookmarkEnd w:id="3"/>
    <w:p w14:paraId="6A8BA127">
      <w:pPr>
        <w:pStyle w:val="5"/>
        <w:bidi w:val="0"/>
      </w:pPr>
      <w:bookmarkStart w:id="4" w:name="tsp路线问题侧分解-对-更新粒度改造"/>
      <w:r>
        <w:t xml:space="preserve">4. </w:t>
      </w:r>
      <w:r>
        <w:rPr>
          <w:rFonts w:hint="eastAsia"/>
        </w:rPr>
        <w:t>TSP路线</w:t>
      </w:r>
    </w:p>
    <w:p w14:paraId="03E092B5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firstLine="420" w:firstLineChars="200"/>
        <w:jc w:val="left"/>
      </w:pPr>
      <w:r>
        <w:rPr>
          <w:rFonts w:hint="eastAsia"/>
        </w:rPr>
        <w:t>绕开</w:t>
      </w:r>
      <m:oMath>
        <m:sSup>
          <m:sSupPr/>
          <m:e>
            <m:r>
              <m:rPr/>
              <m:t>n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自旋QUBO规模爆炸，两文走了正交的两条路。该文保持逐自旋条件采样的硬件不动，在问题侧做GP图分割与CTSP滑窗，把大问题切成80节点以内的子问题序列；其9城</w:t>
      </w:r>
      <w:r>
        <w:t xml:space="preserve"> </w:t>
      </w:r>
      <w:r>
        <w:rPr>
          <w:rFonts w:hint="eastAsia"/>
        </w:rPr>
        <w:t>(81自旋)</w:t>
      </w:r>
      <w:r>
        <w:t xml:space="preserve"> </w:t>
      </w:r>
      <w:r>
        <w:rPr>
          <w:rFonts w:hint="eastAsia"/>
        </w:rPr>
        <w:t>实验以逐自旋独立采样的同步并行更新</w:t>
      </w:r>
      <w:r>
        <w:t xml:space="preserve"> </w:t>
      </w:r>
      <w:r>
        <w:rPr>
          <w:rFonts w:hint="eastAsia"/>
        </w:rPr>
        <w:t>(每迭代所有自旋按各自条件概率同时重采样，非簇更新)</w:t>
      </w:r>
      <w:r>
        <w:t xml:space="preserve"> </w:t>
      </w:r>
      <w:r>
        <w:rPr>
          <w:rFonts w:hint="eastAsia"/>
        </w:rPr>
        <w:t>在硬件上收敛到最优。本文保持问题不动，在求解器侧把更新粒度从单自旋换成置换空间簇更新</w:t>
      </w:r>
      <w:r>
        <w:t xml:space="preserve"> </w:t>
      </w:r>
      <w:r>
        <w:rPr>
          <w:rFonts w:hint="eastAsia"/>
        </w:rPr>
        <w:t>(2-opt/swap/insert)，把burma14/ulysses16/gr17从</w:t>
      </w:r>
      <m:oMath>
        <m:sSub>
          <m:sSubPr/>
          <m:e>
            <m:r>
              <m:rPr/>
              <m:t>p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推到</w:t>
      </w:r>
      <m:oMath>
        <m:sSub>
          <m:sSubPr/>
          <m:e>
            <m:r>
              <m:rPr/>
              <m:t>p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r>
          <m:rPr/>
          <m:t>1.00</m:t>
        </m:r>
      </m:oMath>
      <w:r>
        <w:t xml:space="preserve"> </w:t>
      </w:r>
      <w:r>
        <w:rPr>
          <w:rFonts w:hint="eastAsia"/>
        </w:rPr>
        <w:t>(扫数还降一个数量级)，并证明惩罚系数调参</w:t>
      </w:r>
      <w:r>
        <w:t xml:space="preserve"> (</w:t>
      </w:r>
      <m:oMath>
        <m:r>
          <m:rPr/>
          <m:t>A</m:t>
        </m:r>
      </m:oMath>
      <w:r>
        <w:t xml:space="preserve">-margin </w:t>
      </w:r>
      <w:r>
        <w:rPr>
          <w:rFonts w:hint="eastAsia"/>
        </w:rPr>
        <w:t>1.2～10)</w:t>
      </w:r>
      <w:r>
        <w:t xml:space="preserve"> </w:t>
      </w:r>
      <w:r>
        <w:rPr>
          <w:rFonts w:hint="eastAsia"/>
        </w:rPr>
        <w:t>不能改变单自旋QUBO的结构边界。两条路线可组合：GP-CTSP切出的子问题仍可用簇更新求解。规模口径也不同：该文硬件收敛的实例在81自旋</w:t>
      </w:r>
      <w:r>
        <w:t xml:space="preserve"> </w:t>
      </w:r>
      <w:r>
        <w:rPr>
          <w:rFonts w:hint="eastAsia"/>
        </w:rPr>
        <w:t>(9城)，本文单自旋失败的最小实例是196自旋</w:t>
      </w:r>
      <w:r>
        <w:t xml:space="preserve"> </w:t>
      </w:r>
      <w:r>
        <w:rPr>
          <w:rFonts w:hint="eastAsia"/>
        </w:rPr>
        <w:t>(14城)，两者不矛盾，恰与本文对可行域测度极端稀疏</w:t>
      </w:r>
      <w:r>
        <w:t xml:space="preserve"> (</w:t>
      </w:r>
      <m:oMath>
        <m:r>
          <m:rPr/>
          <m:t>n</m:t>
        </m:r>
        <m:r>
          <m:rPr>
            <m:sty m:val="p"/>
          </m:rPr>
          <m:t>!/</m:t>
        </m:r>
        <m:sSup>
          <m:sSupPr/>
          <m:e>
            <m:r>
              <m:rPr/>
              <m:t>2</m:t>
            </m:r>
          </m:e>
          <m:sup>
            <m:sSup>
              <m:sSupPr/>
              <m:e>
                <m:r>
                  <m:rPr/>
                  <m:t>n</m:t>
                </m:r>
              </m:e>
              <m:sup>
                <m:r>
                  <m:rPr/>
                  <m:t>2</m:t>
                </m:r>
              </m:sup>
            </m:sSup>
          </m:sup>
        </m:sSup>
      </m:oMath>
      <w:r>
        <w:rPr>
          <w:rFonts w:hint="eastAsia"/>
        </w:rPr>
        <w:t>，</w:t>
      </w:r>
      <m:oMath>
        <m:r>
          <m:rPr/>
          <m:t>n</m:t>
        </m:r>
        <m:r>
          <m:rPr>
            <m:sty m:val="p"/>
          </m:rPr>
          <m:t>=</m:t>
        </m:r>
        <m:r>
          <m:rPr/>
          <m:t>14</m:t>
        </m:r>
      </m:oMath>
      <w:r>
        <w:rPr>
          <w:rFonts w:hint="eastAsia"/>
        </w:rPr>
        <w:t>时约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51</m:t>
            </m:r>
          </m:sup>
        </m:sSup>
      </m:oMath>
      <w:r>
        <w:t xml:space="preserve">) </w:t>
      </w:r>
      <w:r>
        <w:rPr>
          <w:rFonts w:hint="eastAsia"/>
        </w:rPr>
        <w:t>的判断一致；该文仅在仿真中给出无GP/CTSP方法成功率随城市数下降的曲线</w:t>
      </w:r>
      <w:r>
        <w:t xml:space="preserve"> </w:t>
      </w:r>
      <w:r>
        <w:rPr>
          <w:rFonts w:hint="eastAsia"/>
        </w:rPr>
        <w:t>(其Fig.</w:t>
      </w:r>
      <w:r>
        <w:t xml:space="preserve"> </w:t>
      </w:r>
      <w:r>
        <w:rPr>
          <w:rFonts w:hint="eastAsia"/>
        </w:rPr>
        <w:t>5c，512个sMTJ)，未界定不分解方案的最小失效实例及其机理，本文给出了这个边界及其机理</w:t>
      </w:r>
      <w:r>
        <w:t xml:space="preserve"> </w:t>
      </w:r>
      <w:r>
        <w:rPr>
          <w:rFonts w:hint="eastAsia"/>
        </w:rPr>
        <w:t>(约束项冻结后可行盆地间不可迁移)。另外该文的CTSP由微控制器在问题矩阵层实现，不是多自旋原子更新；本文3.6节“TSP簇更新尚无对应的晶体管级协同更新电路”的判断不因该文而改变。</w:t>
      </w:r>
    </w:p>
    <w:bookmarkEnd w:id="4"/>
    <w:p w14:paraId="74D5E60B">
      <w:pPr>
        <w:pStyle w:val="5"/>
        <w:bidi w:val="0"/>
      </w:pPr>
      <w:bookmarkStart w:id="5" w:name="能耗数字的口径计算内核口径-对-端到端口径修正"/>
      <w:r>
        <w:t xml:space="preserve">5. </w:t>
      </w:r>
      <w:r>
        <w:rPr>
          <w:rFonts w:hint="eastAsia"/>
        </w:rPr>
        <w:t>能耗数字的口径</w:t>
      </w:r>
    </w:p>
    <w:p w14:paraId="7B6E3D2B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firstLine="420" w:firstLineChars="200"/>
        <w:jc w:val="left"/>
      </w:pPr>
      <w:r>
        <w:rPr>
          <w:rFonts w:hint="eastAsia"/>
        </w:rPr>
        <w:t>该文Table</w:t>
      </w:r>
      <w:r>
        <w:t xml:space="preserve"> </w:t>
      </w:r>
      <w:r>
        <w:rPr>
          <w:rFonts w:hint="eastAsia"/>
        </w:rPr>
        <w:t>1明确声明只计伊辛计算部分</w:t>
      </w:r>
      <w:r>
        <w:t xml:space="preserve"> (0.64 </w:t>
      </w:r>
      <w:r>
        <w:rPr>
          <w:rFonts w:hint="eastAsia"/>
        </w:rPr>
        <w:t>mW为”main</w:t>
      </w:r>
      <w:r>
        <w:t xml:space="preserve"> computer </w:t>
      </w:r>
      <w:r>
        <w:rPr>
          <w:rFonts w:hint="eastAsia"/>
        </w:rPr>
        <w:t>kernel”实验值)，且10</w:t>
      </w:r>
      <w:r>
        <w:t xml:space="preserve"> </w:t>
      </w:r>
      <w:r>
        <w:rPr>
          <w:rFonts w:hint="eastAsia"/>
        </w:rPr>
        <w:t>kHz主频下外围静态功耗的摊销压力小。本文的核心发现之一恰是口径问题：器件级0.78</w:t>
      </w:r>
      <w:r>
        <w:t xml:space="preserve"> </w:t>
      </w:r>
      <w:r>
        <w:rPr>
          <w:rFonts w:hint="eastAsia"/>
        </w:rPr>
        <w:t>pJ/更新的能量优势，被外围驱动静态功耗与建立时间放大约18.7×</w:t>
      </w:r>
      <w:r>
        <w:t xml:space="preserve"> </w:t>
      </w:r>
      <w:r>
        <w:rPr>
          <w:rFonts w:hint="eastAsia"/>
        </w:rPr>
        <w:t>(tt角；含H桥复位实测后约19.7×)，局部场数字求和一项</w:t>
      </w:r>
      <w:r>
        <w:t xml:space="preserve"> </w:t>
      </w:r>
      <w:r>
        <w:rPr>
          <w:rFonts w:hint="eastAsia"/>
        </w:rPr>
        <w:t>(平均度20～48时7.3～17.6</w:t>
      </w:r>
      <w:r>
        <w:t xml:space="preserve"> pJ) </w:t>
      </w:r>
      <w:r>
        <w:rPr>
          <w:rFonts w:hint="eastAsia"/>
        </w:rPr>
        <w:t>就超过单元能量本身，结论是“任何跨平台能耗结论都必须与口径边界一并陈述”</w:t>
      </w:r>
      <w:r>
        <w:t xml:space="preserve"> </w:t>
      </w:r>
      <w:r>
        <w:rPr>
          <w:rFonts w:hint="eastAsia"/>
        </w:rPr>
        <w:t>(3.5.4节)。用这一尺度读该文Table</w:t>
      </w:r>
      <w:r>
        <w:t xml:space="preserve"> </w:t>
      </w:r>
      <w:r>
        <w:rPr>
          <w:rFonts w:hint="eastAsia"/>
        </w:rPr>
        <w:t>1：各平台数字取自不同文献、不同口径</w:t>
      </w:r>
      <w:r>
        <w:t xml:space="preserve"> </w:t>
      </w:r>
      <w:r>
        <w:rPr>
          <w:rFonts w:hint="eastAsia"/>
        </w:rPr>
        <w:t>(表脚注自注多处为估计或仿真外推)，其39</w:t>
      </w:r>
      <w:r>
        <w:t xml:space="preserve"> </w:t>
      </w:r>
      <w:r>
        <w:rPr>
          <w:rFonts w:hint="eastAsia"/>
        </w:rPr>
        <w:t>solutions/s/W的排名意义受同样的口径限制。这是本文方法学对这类横向对比表的普遍修正，同样适用于该文Table</w:t>
      </w:r>
      <w:r>
        <w:t xml:space="preserve"> 1。</w:t>
      </w:r>
    </w:p>
    <w:bookmarkEnd w:id="5"/>
    <w:p w14:paraId="2E1B0308">
      <w:pPr>
        <w:pStyle w:val="5"/>
        <w:bidi w:val="0"/>
      </w:pPr>
      <w:bookmarkStart w:id="6" w:name="阵列化分析的层次架构提议-对-定量瓶颈清单"/>
      <w:r>
        <w:t xml:space="preserve">6. </w:t>
      </w:r>
      <w:r>
        <w:rPr>
          <w:rFonts w:hint="eastAsia"/>
        </w:rPr>
        <w:t>阵列化分析的层次</w:t>
      </w:r>
    </w:p>
    <w:p w14:paraId="64A1A4C0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firstLine="420" w:firstLineChars="200"/>
        <w:jc w:val="left"/>
      </w:pPr>
      <w:r>
        <w:rPr>
          <w:rFonts w:hint="eastAsia"/>
        </w:rPr>
        <w:t>该文提出1T1SMTJ交叉杆加读出放大器的架构，仿真到4</w:t>
      </w:r>
      <w:r>
        <w:t xml:space="preserve"> </w:t>
      </w:r>
      <w:r>
        <w:rPr>
          <w:rFonts w:hint="eastAsia"/>
        </w:rPr>
        <w:t>Kb规模，定性说明同步设计可缓解泄漏、潜行电流与寄生电阻，并指出器件涨落相位</w:t>
      </w:r>
      <w:r>
        <w:t xml:space="preserve"> </w:t>
      </w:r>
      <w:r>
        <w:rPr>
          <w:rFonts w:hint="eastAsia"/>
        </w:rPr>
        <w:t>(其时序中的PH1)</w:t>
      </w:r>
      <w:r>
        <w:t xml:space="preserve"> </w:t>
      </w:r>
      <w:r>
        <w:rPr>
          <w:rFonts w:hint="eastAsia"/>
        </w:rPr>
        <w:t>的时长需与保持时间可比、从而限制主频。本文对同类阵列给出定量的瓶颈清单：写线IR压降的逐行预畸变补偿及其与逐单元阈值校准的码域预算冲突</w:t>
      </w:r>
      <w:r>
        <w:t xml:space="preserve"> </w:t>
      </w:r>
      <w:r>
        <w:rPr>
          <w:rFonts w:hint="eastAsia"/>
        </w:rPr>
        <w:t>(3.5.3节)、误读容限随规模按</w:t>
      </w:r>
      <m:oMath>
        <m:r>
          <m:rPr/>
          <m:t>N</m:t>
        </m:r>
        <m:r>
          <m:rPr>
            <m:sty m:val="p"/>
          </m:rPr>
          <m:t>⋅</m:t>
        </m:r>
        <m:r>
          <m:rPr/>
          <m:t>T</m:t>
        </m:r>
      </m:oMath>
      <w:r>
        <w:rPr>
          <w:rFonts w:hint="eastAsia"/>
        </w:rPr>
        <w:t>标度收紧至</w:t>
      </w:r>
      <m:oMath>
        <m:sSup>
          <m:sSupPr/>
          <m:e>
            <m:r>
              <m:rPr/>
              <m:t>10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自旋下的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</m:oMath>
      <w:r>
        <w:rPr>
          <w:rFonts w:hint="eastAsia"/>
        </w:rPr>
        <w:t>量级，而实测读出比较器失配</w:t>
      </w:r>
      <m:oMath>
        <m:sSub>
          <m:sSubPr/>
          <m:e>
            <m:r>
              <m:rPr/>
              <m:t>σ</m:t>
            </m:r>
          </m:e>
          <m:sub>
            <m:r>
              <m:rPr/>
              <m:t>off</m:t>
            </m:r>
          </m:sub>
        </m:sSub>
        <m:r>
          <m:rPr>
            <m:sty m:val="p"/>
          </m:rPr>
          <m:t>=</m:t>
        </m:r>
        <m:r>
          <m:rPr/>
          <m:t>18.5</m:t>
        </m:r>
      </m:oMath>
      <w:r>
        <w:t xml:space="preserve"> mV (</w:t>
      </w:r>
      <m:oMath>
        <m:r>
          <m:rPr/>
          <m:t>0.79</m:t>
        </m:r>
        <m:sSub>
          <m:sSubPr/>
          <m:e>
            <m:r>
              <m:rPr/>
              <m:t>V</m:t>
            </m:r>
          </m:e>
          <m:sub>
            <m:r>
              <m:rPr/>
              <m:t>T</m:t>
            </m:r>
          </m:sub>
        </m:sSub>
      </m:oMath>
      <w:r>
        <w:t xml:space="preserve">) </w:t>
      </w:r>
      <w:r>
        <w:rPr>
          <w:rFonts w:hint="eastAsia"/>
        </w:rPr>
        <w:t>对应的误读率</w:t>
      </w:r>
      <w:r>
        <w:t xml:space="preserve"> </w:t>
      </w:r>
      <w:r>
        <w:rPr>
          <w:rFonts w:hint="eastAsia"/>
        </w:rPr>
        <w:t>(乐观口径</w:t>
      </w:r>
      <m:oMath>
        <m:r>
          <m:rPr/>
          <m:t>8.2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t xml:space="preserve">) </w:t>
      </w:r>
      <w:r>
        <w:rPr>
          <w:rFonts w:hint="eastAsia"/>
        </w:rPr>
        <w:t>已远超该容限</w:t>
      </w:r>
      <w:r>
        <w:t xml:space="preserve"> </w:t>
      </w:r>
      <w:r>
        <w:rPr>
          <w:rFonts w:hint="eastAsia"/>
        </w:rPr>
        <w:t>(3.5.5节)、复位back-hopping的</w:t>
      </w:r>
      <m:oMath>
        <m:r>
          <m:rPr/>
          <m:t>k</m:t>
        </m:r>
        <m:r>
          <m:rPr>
            <m:sty m:val="p"/>
          </m:rPr>
          <m:t>≈</m:t>
        </m:r>
        <m:r>
          <m:rPr/>
          <m:t>2</m:t>
        </m:r>
        <m:r>
          <m:rPr>
            <m:sty m:val="p"/>
          </m:rPr>
          <m:t>∼</m:t>
        </m:r>
        <m:r>
          <m:rPr/>
          <m:t>3</m:t>
        </m:r>
      </m:oMath>
      <w:r>
        <w:rPr>
          <w:rFonts w:hint="eastAsia"/>
        </w:rPr>
        <w:t>工程折中</w:t>
      </w:r>
      <w:r>
        <w:t xml:space="preserve"> </w:t>
      </w:r>
      <w:r>
        <w:rPr>
          <w:rFonts w:hint="eastAsia"/>
        </w:rPr>
        <w:t>(3.5.2节)、写入量程须随</w:t>
      </w:r>
      <m:oMath>
        <m:r>
          <m:rPr/>
          <m:t>N</m:t>
        </m:r>
        <m:r>
          <m:rPr>
            <m:sty m:val="p"/>
          </m:rPr>
          <m:t>⋅</m:t>
        </m:r>
        <m:r>
          <m:rPr/>
          <m:t>T</m:t>
        </m:r>
      </m:oMath>
      <w:r>
        <w:rPr>
          <w:rFonts w:hint="eastAsia"/>
        </w:rPr>
        <w:t>放宽到</w:t>
      </w:r>
      <m:oMath>
        <m:r>
          <m:rPr>
            <m:sty m:val="p"/>
          </m:rPr>
          <m:t>±</m:t>
        </m:r>
        <m:r>
          <m:rPr/>
          <m:t>10</m:t>
        </m:r>
        <m:sSub>
          <m:sSubPr/>
          <m:e>
            <m:r>
              <m:rPr/>
              <m:t>V</m:t>
            </m:r>
          </m:e>
          <m:sub>
            <m:r>
              <m:rPr/>
              <m:t>T</m:t>
            </m:r>
          </m:sub>
        </m:sSub>
      </m:oMath>
      <w:r>
        <w:rPr>
          <w:rFonts w:hint="eastAsia"/>
        </w:rPr>
        <w:t>以上</w:t>
      </w:r>
      <w:r>
        <w:t xml:space="preserve"> </w:t>
      </w:r>
      <w:r>
        <w:rPr>
          <w:rFonts w:hint="eastAsia"/>
        </w:rPr>
        <w:t>(3.5.2节)。值得注意的汇合点：该文交叉杆同样采用行序更新，与本文由共享列线IR耦合推出的“更新须按行顺序”结论一致，本文给出了该调度的物理必要性论证。</w:t>
      </w:r>
    </w:p>
    <w:bookmarkEnd w:id="6"/>
    <w:p w14:paraId="6EF56D50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jc w:val="left"/>
      </w:pPr>
      <w:bookmarkStart w:id="7" w:name="统计与成功判据"/>
    </w:p>
    <w:p w14:paraId="02DB191D">
      <w:pPr>
        <w:bidi w:val="0"/>
      </w:pPr>
    </w:p>
    <w:p w14:paraId="4DE6E77B">
      <w:pPr>
        <w:bidi w:val="0"/>
      </w:pPr>
    </w:p>
    <w:p w14:paraId="68A1C94F">
      <w:pPr>
        <w:bidi w:val="0"/>
      </w:pPr>
    </w:p>
    <w:p w14:paraId="208DB623">
      <w:pPr>
        <w:bidi w:val="0"/>
      </w:pPr>
    </w:p>
    <w:p w14:paraId="406274DA">
      <w:pPr>
        <w:bidi w:val="0"/>
      </w:pPr>
      <w:r>
        <w:br w:type="page"/>
      </w:r>
      <w:bookmarkEnd w:id="7"/>
      <w:bookmarkStart w:id="8" w:name="对照表"/>
      <w:r>
        <w:rPr>
          <w:rFonts w:hint="eastAsia"/>
        </w:rPr>
        <w:t>对照表</w:t>
      </w:r>
    </w:p>
    <w:tbl>
      <w:tblPr>
        <w:tblStyle w:val="63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5"/>
        <w:gridCol w:w="3316"/>
        <w:gridCol w:w="3855"/>
      </w:tblGrid>
      <w:tr w14:paraId="7095F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8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75E8576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维度</w:t>
            </w:r>
          </w:p>
        </w:tc>
        <w:tc>
          <w:tcPr>
            <w:tcW w:w="331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8669346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Si等2024</w:t>
            </w:r>
          </w:p>
        </w:tc>
        <w:tc>
          <w:tcPr>
            <w:tcW w:w="385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EFC1E45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本文</w:t>
            </w:r>
          </w:p>
        </w:tc>
      </w:tr>
      <w:tr w14:paraId="6D685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8790E18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成果形态</w:t>
            </w:r>
          </w:p>
        </w:tc>
        <w:tc>
          <w:tcPr>
            <w:tcW w:w="331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AC5D04F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 xml:space="preserve">80-sMTJ </w:t>
            </w:r>
            <w:r>
              <w:rPr>
                <w:rFonts w:hint="eastAsia"/>
              </w:rPr>
              <w:t>PCB系统实验+GP-CTSP算法+交叉杆提议</w:t>
            </w:r>
          </w:p>
        </w:tc>
        <w:tc>
          <w:tcPr>
            <w:tcW w:w="385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EB28416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跨层仿真评估方法+设计规则</w:t>
            </w:r>
            <w:r>
              <w:t xml:space="preserve"> </w:t>
            </w:r>
            <w:r>
              <w:rPr>
                <w:rFonts w:hint="eastAsia"/>
              </w:rPr>
              <w:t>(非芯片实现)</w:t>
            </w:r>
          </w:p>
        </w:tc>
      </w:tr>
      <w:tr w14:paraId="47447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6636D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器件</w:t>
            </w:r>
          </w:p>
        </w:tc>
        <w:tc>
          <w:tcPr>
            <w:tcW w:w="33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20E27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垂直两端sMTJ，直流偏置自由涨落，保持约0.1</w:t>
            </w:r>
            <w:r>
              <w:t xml:space="preserve"> ms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A929F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SOT脉冲写入sMTJ，0.75</w:t>
            </w:r>
            <w:r>
              <w:t xml:space="preserve"> </w:t>
            </w:r>
            <w:r>
              <w:rPr>
                <w:rFonts w:hint="eastAsia"/>
              </w:rPr>
              <w:t>ns概率写</w:t>
            </w:r>
            <w:r>
              <w:t xml:space="preserve"> </w:t>
            </w:r>
            <w:r>
              <w:rPr>
                <w:rFonts w:hint="eastAsia"/>
              </w:rPr>
              <w:t>(第二章实测标定)</w:t>
            </w:r>
          </w:p>
        </w:tc>
      </w:tr>
      <w:tr w14:paraId="3C834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A03EB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更新节拍</w:t>
            </w:r>
          </w:p>
        </w:tc>
        <w:tc>
          <w:tcPr>
            <w:tcW w:w="33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E2057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 xml:space="preserve">10 kHz </w:t>
            </w:r>
            <w:r>
              <w:rPr>
                <w:rFonts w:hint="eastAsia"/>
              </w:rPr>
              <w:t>(保持时间锁定)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1CA7D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约14</w:t>
            </w:r>
            <w:r>
              <w:t xml:space="preserve"> </w:t>
            </w:r>
            <w:r>
              <w:rPr>
                <w:rFonts w:hint="eastAsia"/>
              </w:rPr>
              <w:t>ns周期投影</w:t>
            </w:r>
            <w:r>
              <w:t xml:space="preserve"> </w:t>
            </w:r>
            <w:r>
              <w:rPr>
                <w:rFonts w:hint="eastAsia"/>
              </w:rPr>
              <w:t>(外围建立主导)</w:t>
            </w:r>
          </w:p>
        </w:tc>
      </w:tr>
      <w:tr w14:paraId="5CB0E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80BE6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退火</w:t>
            </w:r>
          </w:p>
        </w:tc>
        <w:tc>
          <w:tcPr>
            <w:tcW w:w="33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B4523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电流幅值承载有效逆温度</w:t>
            </w:r>
            <m:oMath>
              <m:r>
                <m:rPr/>
                <m:t>c</m:t>
              </m:r>
            </m:oMath>
            <w:r>
              <w:rPr>
                <w:rFonts w:hint="eastAsia"/>
              </w:rPr>
              <w:t>，本征随机性省随机数生成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44520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几何</w:t>
            </w:r>
            <m:oMath>
              <m:r>
                <m:rPr/>
                <m:t>β</m:t>
              </m:r>
            </m:oMath>
            <w:r>
              <w:rPr>
                <w:rFonts w:hint="eastAsia"/>
              </w:rPr>
              <w:t>调度经</w:t>
            </w:r>
            <m:oMath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wr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th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u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T</m:t>
                  </m:r>
                </m:sub>
              </m:sSub>
            </m:oMath>
            <w:r>
              <w:rPr>
                <w:rFonts w:hint="eastAsia"/>
              </w:rPr>
              <w:t>映射；量程/位宽/复位逐项量化</w:t>
            </w:r>
          </w:p>
        </w:tc>
      </w:tr>
      <w:tr w14:paraId="5002F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EB33C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采样规则评价</w:t>
            </w:r>
          </w:p>
        </w:tc>
        <w:tc>
          <w:tcPr>
            <w:tcW w:w="33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94B0B4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未做同框架算法对照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BBC9E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Gibbs对Metropolis受控对照：无算法加速</w:t>
            </w:r>
          </w:p>
        </w:tc>
      </w:tr>
      <w:tr w14:paraId="44F28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CB4CA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TSP路线</w:t>
            </w:r>
          </w:p>
        </w:tc>
        <w:tc>
          <w:tcPr>
            <w:tcW w:w="33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D7624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问题侧GP+CTSP分解，80节点解70城</w:t>
            </w:r>
            <w:r>
              <w:t xml:space="preserve"> </w:t>
            </w:r>
            <w:r>
              <w:rPr>
                <w:rFonts w:hint="eastAsia"/>
              </w:rPr>
              <w:t>(实验)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7571E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求解器侧置换簇更新；单自旋QUBO界定为下界</w:t>
            </w:r>
            <w:r>
              <w:t xml:space="preserve"> (</w:t>
            </w:r>
            <m:oMath>
              <m:r>
                <m:rPr/>
                <m:t>n</m:t>
              </m:r>
              <m:r>
                <m:rPr>
                  <m:sty m:val="p"/>
                </m:rPr>
                <m:t>≤</m:t>
              </m:r>
              <m:r>
                <m:rPr/>
                <m:t>20</m:t>
              </m:r>
            </m:oMath>
            <w:r>
              <w:rPr>
                <w:rFonts w:hint="eastAsia"/>
              </w:rPr>
              <w:t>上限)</w:t>
            </w:r>
          </w:p>
        </w:tc>
      </w:tr>
      <w:tr w14:paraId="7CD85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15137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能耗口径</w:t>
            </w:r>
          </w:p>
        </w:tc>
        <w:tc>
          <w:tcPr>
            <w:tcW w:w="33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3AAA9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计算内核0.64</w:t>
            </w:r>
            <w:r>
              <w:t xml:space="preserve"> mW、39 sol/s/W </w:t>
            </w:r>
            <w:r>
              <w:rPr>
                <w:rFonts w:hint="eastAsia"/>
              </w:rPr>
              <w:t>(外围不计)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38AAA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端到端口径修正约18.7×；突触求和项实测计入</w:t>
            </w:r>
          </w:p>
        </w:tc>
      </w:tr>
      <w:tr w14:paraId="61A79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A8BF6C5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阵列约束</w:t>
            </w:r>
          </w:p>
        </w:tc>
        <w:tc>
          <w:tcPr>
            <w:tcW w:w="331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DBBA10E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架构级：串扰可忽略、涨落相位PH1限频</w:t>
            </w:r>
          </w:p>
        </w:tc>
        <w:tc>
          <w:tcPr>
            <w:tcW w:w="385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F33CA06">
            <w:pPr>
              <w:pStyle w:val="46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电路级：IR压降/校准码域/读出失配/复位回跳定量</w:t>
            </w:r>
            <w:bookmarkStart w:id="9" w:name="_GoBack"/>
            <w:bookmarkEnd w:id="9"/>
            <w:r>
              <w:rPr>
                <w:rFonts w:hint="eastAsia"/>
              </w:rPr>
              <w:t>清单</w:t>
            </w:r>
          </w:p>
        </w:tc>
      </w:tr>
      <w:bookmarkEnd w:id="0"/>
      <w:bookmarkEnd w:id="8"/>
    </w:tbl>
    <w:p w14:paraId="15D29C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firstLine="480" w:firstLineChars="200"/>
        <w:jc w:val="left"/>
      </w:pPr>
    </w:p>
    <w:p w14:paraId="2BBCE4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firstLine="480" w:firstLineChars="200"/>
        <w:jc w:val="left"/>
      </w:pPr>
    </w:p>
    <w:p w14:paraId="6F6C8A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firstLine="480" w:firstLineChars="200"/>
        <w:jc w:val="left"/>
      </w:pPr>
    </w:p>
    <w:p w14:paraId="7A607647">
      <w:pPr>
        <w:pStyle w:val="5"/>
        <w:bidi w:val="0"/>
      </w:pPr>
      <w:r>
        <w:rPr>
          <w:rFonts w:hint="eastAsia"/>
        </w:rPr>
        <w:t>信中所引文献</w:t>
      </w:r>
    </w:p>
    <w:p w14:paraId="751F827A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firstLine="420" w:firstLineChars="200"/>
        <w:jc w:val="left"/>
      </w:pPr>
      <w:r>
        <w:rPr>
          <w:rFonts w:hint="eastAsia"/>
        </w:rPr>
        <w:t>以下为说明信中提及的全部文献，按信中出现顺序，DOI为可点击链接。</w:t>
      </w:r>
    </w:p>
    <w:p w14:paraId="4D53841D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900" w:leftChars="200" w:hanging="420" w:hangingChars="200"/>
        <w:jc w:val="left"/>
      </w:pPr>
      <w:r>
        <w:t xml:space="preserve">1. Metropolis N, Rosenbluth A W, Rosenbluth M N, et al. Equation of state calculations by fast computing machines[J]. The Journal of Chemical Physics, 1953, 21(6): 1087-1092. DOI: </w:t>
      </w:r>
      <w:r>
        <w:fldChar w:fldCharType="begin"/>
      </w:r>
      <w:r>
        <w:instrText xml:space="preserve"> HYPERLINK "https://doi.org/10.1063/1.1699114" \h </w:instrText>
      </w:r>
      <w:r>
        <w:fldChar w:fldCharType="separate"/>
      </w:r>
      <w:r>
        <w:rPr>
          <w:rStyle w:val="39"/>
        </w:rPr>
        <w:t>10.1063/1.1699114</w:t>
      </w:r>
      <w:r>
        <w:rPr>
          <w:rStyle w:val="40"/>
        </w:rPr>
        <w:fldChar w:fldCharType="end"/>
      </w:r>
      <w:r>
        <w:t>.</w:t>
      </w:r>
    </w:p>
    <w:p w14:paraId="5FFFE9EF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900" w:leftChars="200" w:hanging="420" w:hangingChars="200"/>
        <w:jc w:val="left"/>
      </w:pPr>
      <w:r>
        <w:t xml:space="preserve">2. Glauber R J. Time-dependent statistics of the Ising model[J]. Journal of Mathematical Physics, 1963, 4(2): 294-307. DOI: </w:t>
      </w:r>
      <w:r>
        <w:fldChar w:fldCharType="begin"/>
      </w:r>
      <w:r>
        <w:instrText xml:space="preserve"> HYPERLINK "https://doi.org/10.1063/1.1703954" \h </w:instrText>
      </w:r>
      <w:r>
        <w:fldChar w:fldCharType="separate"/>
      </w:r>
      <w:r>
        <w:rPr>
          <w:rStyle w:val="39"/>
        </w:rPr>
        <w:t>10.1063/1.1703954</w:t>
      </w:r>
      <w:r>
        <w:rPr>
          <w:rStyle w:val="40"/>
        </w:rPr>
        <w:fldChar w:fldCharType="end"/>
      </w:r>
      <w:r>
        <w:t>.</w:t>
      </w:r>
    </w:p>
    <w:p w14:paraId="32AC94AE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900" w:leftChars="200" w:hanging="420" w:hangingChars="200"/>
        <w:jc w:val="left"/>
      </w:pPr>
      <w:r>
        <w:t xml:space="preserve">3. Geman S, Geman D. Stochastic relaxation, Gibbs distributions, and the Bayesian restoration of images[J]. IEEE Transactions on Pattern Analysis and Machine Intelligence, 1984, PAMI-6(6): 721-741. DOI: </w:t>
      </w:r>
      <w:r>
        <w:fldChar w:fldCharType="begin"/>
      </w:r>
      <w:r>
        <w:instrText xml:space="preserve"> HYPERLINK "https://doi.org/10.1109/TPAMI.1984.4767596" \h </w:instrText>
      </w:r>
      <w:r>
        <w:fldChar w:fldCharType="separate"/>
      </w:r>
      <w:r>
        <w:rPr>
          <w:rStyle w:val="39"/>
        </w:rPr>
        <w:t>10.1109/TPAMI.1984.4767596</w:t>
      </w:r>
      <w:r>
        <w:rPr>
          <w:rStyle w:val="40"/>
        </w:rPr>
        <w:fldChar w:fldCharType="end"/>
      </w:r>
      <w:r>
        <w:t>.</w:t>
      </w:r>
    </w:p>
    <w:p w14:paraId="074684B9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900" w:leftChars="200" w:hanging="420" w:hangingChars="200"/>
        <w:jc w:val="left"/>
      </w:pPr>
      <w:r>
        <w:t xml:space="preserve">4. Camsari K Y, Faria R, Sutton B M, et al. Stochastic p-bits for invertible logic[J]. Physical Review X, 2017, 7(3): 031014. DOI: </w:t>
      </w:r>
      <w:r>
        <w:fldChar w:fldCharType="begin"/>
      </w:r>
      <w:r>
        <w:instrText xml:space="preserve"> HYPERLINK "https://doi.org/10.1103/PhysRevX.7.031014" \h </w:instrText>
      </w:r>
      <w:r>
        <w:fldChar w:fldCharType="separate"/>
      </w:r>
      <w:r>
        <w:rPr>
          <w:rStyle w:val="39"/>
        </w:rPr>
        <w:t>10.1103/PhysRevX.7.031014</w:t>
      </w:r>
      <w:r>
        <w:rPr>
          <w:rStyle w:val="40"/>
        </w:rPr>
        <w:fldChar w:fldCharType="end"/>
      </w:r>
      <w:r>
        <w:t>.</w:t>
      </w:r>
    </w:p>
    <w:p w14:paraId="080DF040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900" w:leftChars="200" w:hanging="420" w:hangingChars="200"/>
        <w:jc w:val="left"/>
      </w:pPr>
      <w:r>
        <w:t xml:space="preserve">5. Camsari K Y, Sutton B M, Datta S. p-bits for probabilistic spin logic[J]. Applied Physics Reviews, 2019, 6(1): 011305. DOI: </w:t>
      </w:r>
      <w:r>
        <w:fldChar w:fldCharType="begin"/>
      </w:r>
      <w:r>
        <w:instrText xml:space="preserve"> HYPERLINK "https://doi.org/10.1063/1.5055860" \h </w:instrText>
      </w:r>
      <w:r>
        <w:fldChar w:fldCharType="separate"/>
      </w:r>
      <w:r>
        <w:rPr>
          <w:rStyle w:val="39"/>
        </w:rPr>
        <w:t>10.1063/1.5055860</w:t>
      </w:r>
      <w:r>
        <w:rPr>
          <w:rStyle w:val="40"/>
        </w:rPr>
        <w:fldChar w:fldCharType="end"/>
      </w:r>
      <w:r>
        <w:t>.</w:t>
      </w:r>
    </w:p>
    <w:p w14:paraId="45F658F2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900" w:leftChars="200" w:hanging="420" w:hangingChars="200"/>
        <w:jc w:val="left"/>
      </w:pPr>
      <w:r>
        <w:t xml:space="preserve">6. Rønnow T F, Wang Z, Job J, et al. Defining and detecting quantum speedup[J]. Science, 2014, 345(6195): 420-424. DOI: </w:t>
      </w:r>
      <w:r>
        <w:fldChar w:fldCharType="begin"/>
      </w:r>
      <w:r>
        <w:instrText xml:space="preserve"> HYPERLINK "https://doi.org/10.1126/science.1252319" \h </w:instrText>
      </w:r>
      <w:r>
        <w:fldChar w:fldCharType="separate"/>
      </w:r>
      <w:r>
        <w:rPr>
          <w:rStyle w:val="39"/>
        </w:rPr>
        <w:t>10.1126/science.1252319</w:t>
      </w:r>
      <w:r>
        <w:rPr>
          <w:rStyle w:val="40"/>
        </w:rPr>
        <w:fldChar w:fldCharType="end"/>
      </w:r>
      <w:r>
        <w:t>.</w:t>
      </w:r>
    </w:p>
    <w:p w14:paraId="08394BE6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900" w:leftChars="200" w:hanging="420" w:hangingChars="200"/>
        <w:jc w:val="left"/>
      </w:pPr>
      <w:r>
        <w:t xml:space="preserve">7. Wilson E B. Probable inference, the law of succession, and statistical inference[J]. Journal of the American Statistical Association, 1927, 22(158): 209-212. DOI: </w:t>
      </w:r>
      <w:r>
        <w:fldChar w:fldCharType="begin"/>
      </w:r>
      <w:r>
        <w:instrText xml:space="preserve"> HYPERLINK "https://doi.org/10.1080/01621459.1927.10502953" \h </w:instrText>
      </w:r>
      <w:r>
        <w:fldChar w:fldCharType="separate"/>
      </w:r>
      <w:r>
        <w:rPr>
          <w:rStyle w:val="39"/>
        </w:rPr>
        <w:t>10.1080/01621459.1927.10502953</w:t>
      </w:r>
      <w:r>
        <w:rPr>
          <w:rStyle w:val="40"/>
        </w:rPr>
        <w:fldChar w:fldCharType="end"/>
      </w:r>
      <w:r>
        <w:t>.</w:t>
      </w:r>
    </w:p>
    <w:p w14:paraId="6E2B18F5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900" w:leftChars="200" w:hanging="420" w:hangingChars="200"/>
        <w:jc w:val="left"/>
      </w:pPr>
      <w:r>
        <w:t xml:space="preserve">8. Croes G A. A method for solving traveling-salesman problems[J]. Operations Research, 1958, 6(6): 791-812. DOI: </w:t>
      </w:r>
      <w:r>
        <w:fldChar w:fldCharType="begin"/>
      </w:r>
      <w:r>
        <w:instrText xml:space="preserve"> HYPERLINK "https://doi.org/10.1287/opre.6.6.791" \h </w:instrText>
      </w:r>
      <w:r>
        <w:fldChar w:fldCharType="separate"/>
      </w:r>
      <w:r>
        <w:rPr>
          <w:rStyle w:val="39"/>
        </w:rPr>
        <w:t>10.1287/opre.6.6.791</w:t>
      </w:r>
      <w:r>
        <w:rPr>
          <w:rStyle w:val="40"/>
        </w:rPr>
        <w:fldChar w:fldCharType="end"/>
      </w:r>
      <w:r>
        <w:t>.</w:t>
      </w:r>
    </w:p>
    <w:p w14:paraId="487D742F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900" w:leftChars="200" w:hanging="420" w:hangingChars="200"/>
        <w:jc w:val="left"/>
      </w:pPr>
      <w:r>
        <w:t xml:space="preserve">9. Lin S, Kernighan B W. An effective heuristic algorithm for the traveling-salesman problem[J]. Operations Research, 1973, 21(2): 498-516. DOI: </w:t>
      </w:r>
      <w:r>
        <w:fldChar w:fldCharType="begin"/>
      </w:r>
      <w:r>
        <w:instrText xml:space="preserve"> HYPERLINK "https://doi.org/10.1287/opre.21.2.498" \h </w:instrText>
      </w:r>
      <w:r>
        <w:fldChar w:fldCharType="separate"/>
      </w:r>
      <w:r>
        <w:rPr>
          <w:rStyle w:val="39"/>
        </w:rPr>
        <w:t>10.1287/opre.21.2.498</w:t>
      </w:r>
      <w:r>
        <w:rPr>
          <w:rStyle w:val="40"/>
        </w:rPr>
        <w:fldChar w:fldCharType="end"/>
      </w:r>
      <w:r>
        <w:t>.</w:t>
      </w:r>
    </w:p>
    <w:p w14:paraId="108F81E5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900" w:leftChars="200" w:hanging="420" w:hangingChars="200"/>
        <w:jc w:val="left"/>
      </w:pPr>
      <w:r>
        <w:t xml:space="preserve">10. Pelgrom M J M, Duinmaijer A C J, Welbers A P G. Matching properties of MOS transistors[J]. IEEE Journal of Solid-State Circuits, 1989, 24(5): 1433-1439. DOI: </w:t>
      </w:r>
      <w:r>
        <w:fldChar w:fldCharType="begin"/>
      </w:r>
      <w:r>
        <w:instrText xml:space="preserve"> HYPERLINK "https://doi.org/10.1109/JSSC.1989.572629" \h </w:instrText>
      </w:r>
      <w:r>
        <w:fldChar w:fldCharType="separate"/>
      </w:r>
      <w:r>
        <w:rPr>
          <w:rStyle w:val="39"/>
        </w:rPr>
        <w:t>10.1109/JSSC.1989.572629</w:t>
      </w:r>
      <w:r>
        <w:rPr>
          <w:rStyle w:val="40"/>
        </w:rPr>
        <w:fldChar w:fldCharType="end"/>
      </w:r>
      <w:r>
        <w:t>.</w:t>
      </w:r>
    </w:p>
    <w:p w14:paraId="5C95F881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900" w:leftChars="200" w:hanging="420" w:hangingChars="200"/>
        <w:jc w:val="left"/>
      </w:pPr>
      <w:r>
        <w:t xml:space="preserve">11. Razavi B. The StrongARM latch [A Circuit for All Seasons][J]. IEEE Solid-State Circuits Magazine, 2015, 7(2): 12-17. DOI: </w:t>
      </w:r>
      <w:r>
        <w:fldChar w:fldCharType="begin"/>
      </w:r>
      <w:r>
        <w:instrText xml:space="preserve"> HYPERLINK "https://doi.org/10.1109/MSSC.2015.2418155" \h </w:instrText>
      </w:r>
      <w:r>
        <w:fldChar w:fldCharType="separate"/>
      </w:r>
      <w:r>
        <w:rPr>
          <w:rStyle w:val="39"/>
        </w:rPr>
        <w:t>10.1109/MSSC.2015.2418155</w:t>
      </w:r>
      <w:r>
        <w:rPr>
          <w:rStyle w:val="40"/>
        </w:rPr>
        <w:fldChar w:fldCharType="end"/>
      </w:r>
      <w:r>
        <w:t>.</w:t>
      </w:r>
    </w:p>
    <w:p w14:paraId="12579F83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900" w:leftChars="200" w:hanging="420" w:hangingChars="200"/>
        <w:jc w:val="left"/>
      </w:pPr>
      <w:r>
        <w:t xml:space="preserve">12. Lucas A. Ising formulations of many NP problems[J]. Frontiers in Physics, 2014, 2: 5. DOI: </w:t>
      </w:r>
      <w:r>
        <w:fldChar w:fldCharType="begin"/>
      </w:r>
      <w:r>
        <w:instrText xml:space="preserve"> HYPERLINK "https://doi.org/10.3389/fphy.2014.00005" \h </w:instrText>
      </w:r>
      <w:r>
        <w:fldChar w:fldCharType="separate"/>
      </w:r>
      <w:r>
        <w:rPr>
          <w:rStyle w:val="39"/>
        </w:rPr>
        <w:t>10.3389/fphy.2014.00005</w:t>
      </w:r>
      <w:r>
        <w:rPr>
          <w:rStyle w:val="40"/>
        </w:rPr>
        <w:fldChar w:fldCharType="end"/>
      </w:r>
      <w:r>
        <w:t>.</w:t>
      </w:r>
    </w:p>
    <w:p w14:paraId="1A0C4819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900" w:leftChars="200" w:hanging="420" w:hangingChars="200"/>
        <w:jc w:val="left"/>
      </w:pPr>
      <w:r>
        <w:t xml:space="preserve">13. Kirkpatrick S, Gelatt C D, Vecchi M P. Optimization by simulated annealing[J]. Science, 1983, 220(4598): 671-680. DOI: </w:t>
      </w:r>
      <w:r>
        <w:fldChar w:fldCharType="begin"/>
      </w:r>
      <w:r>
        <w:instrText xml:space="preserve"> HYPERLINK "https://doi.org/10.1126/science.220.4598.671" \h </w:instrText>
      </w:r>
      <w:r>
        <w:fldChar w:fldCharType="separate"/>
      </w:r>
      <w:r>
        <w:rPr>
          <w:rStyle w:val="39"/>
        </w:rPr>
        <w:t>10.1126/science.220.4598.671</w:t>
      </w:r>
      <w:r>
        <w:rPr>
          <w:rStyle w:val="40"/>
        </w:rPr>
        <w:fldChar w:fldCharType="end"/>
      </w:r>
      <w:r>
        <w:t>.</w:t>
      </w:r>
    </w:p>
    <w:p w14:paraId="2DE89C0E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900" w:leftChars="200" w:hanging="420" w:hangingChars="200"/>
        <w:jc w:val="left"/>
      </w:pPr>
      <w:r>
        <w:t xml:space="preserve">14. Borders W A, Pervaiz A Z, Fukami S, et al. Integer factorization using stochastic magnetic tunnel junctions[J]. Nature, 2019, 573(7774): 390-393. DOI: </w:t>
      </w:r>
      <w:r>
        <w:fldChar w:fldCharType="begin"/>
      </w:r>
      <w:r>
        <w:instrText xml:space="preserve"> HYPERLINK "https://doi.org/10.1038/s41586-019-1557-9" \h </w:instrText>
      </w:r>
      <w:r>
        <w:fldChar w:fldCharType="separate"/>
      </w:r>
      <w:r>
        <w:rPr>
          <w:rStyle w:val="39"/>
        </w:rPr>
        <w:t>10.1038/s41586-019-1557-9</w:t>
      </w:r>
      <w:r>
        <w:rPr>
          <w:rStyle w:val="40"/>
        </w:rPr>
        <w:fldChar w:fldCharType="end"/>
      </w:r>
      <w:r>
        <w:t>.</w:t>
      </w:r>
    </w:p>
    <w:p w14:paraId="4CAD13A5">
      <w:pPr>
        <w:pStyle w:val="4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900" w:leftChars="200" w:hanging="420" w:hangingChars="200"/>
        <w:jc w:val="left"/>
      </w:pPr>
      <w:r>
        <w:t xml:space="preserve">15. Si J, Yang S, Cen Y, et al. Energy-efficient superparamagnetic Ising machine and its application to traveling salesman problems[J]. Nature Communications, 2024, 15: 3457. DOI: </w:t>
      </w:r>
      <w:r>
        <w:fldChar w:fldCharType="begin"/>
      </w:r>
      <w:r>
        <w:instrText xml:space="preserve"> HYPERLINK "https://doi.org/10.1038/s41467-024-47818-z" \h </w:instrText>
      </w:r>
      <w:r>
        <w:fldChar w:fldCharType="separate"/>
      </w:r>
      <w:r>
        <w:rPr>
          <w:rStyle w:val="39"/>
        </w:rPr>
        <w:t>10.1038/s41467-024-47818-z</w:t>
      </w:r>
      <w:r>
        <w:rPr>
          <w:rStyle w:val="40"/>
        </w:rPr>
        <w:fldChar w:fldCharType="end"/>
      </w:r>
      <w:r>
        <w:t>.</w:t>
      </w:r>
    </w:p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  <w:ind w:firstLine="480"/>
      </w:pPr>
      <w:r>
        <w:separator/>
      </w:r>
    </w:p>
  </w:footnote>
  <w:footnote w:type="continuationSeparator" w:id="1">
    <w:p>
      <w:pPr>
        <w:spacing w:before="0" w:after="0" w:line="312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4676F41"/>
    <w:rsid w:val="07634BF4"/>
    <w:rsid w:val="190D42EB"/>
    <w:rsid w:val="1C6F7740"/>
    <w:rsid w:val="1D7C3EC2"/>
    <w:rsid w:val="232A616E"/>
    <w:rsid w:val="277420AE"/>
    <w:rsid w:val="2C4B162F"/>
    <w:rsid w:val="327E553D"/>
    <w:rsid w:val="33F9432B"/>
    <w:rsid w:val="3ABE04B2"/>
    <w:rsid w:val="485E2DF8"/>
    <w:rsid w:val="4BBB220E"/>
    <w:rsid w:val="4FD5108C"/>
    <w:rsid w:val="609B59DA"/>
    <w:rsid w:val="67410A93"/>
    <w:rsid w:val="6A6D488B"/>
    <w:rsid w:val="7F3948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qFormat="1" w:unhideWhenUsed="0" w:uiPriority="34" w:semiHidden="0" w:name="index heading"/>
    <w:lsdException w:qFormat="1" w:uiPriority="0" w:name="caption"/>
    <w:lsdException w:qFormat="1" w:unhideWhenUsed="0" w:uiPriority="99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34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34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2" w:after="62" w:line="312" w:lineRule="auto"/>
      <w:ind w:firstLine="964" w:firstLineChars="200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7"/>
    <w:autoRedefine/>
    <w:qFormat/>
    <w:uiPriority w:val="0"/>
    <w:pPr>
      <w:spacing w:before="0" w:after="0" w:line="290" w:lineRule="auto"/>
      <w:ind w:firstLine="0" w:firstLineChars="0"/>
      <w:jc w:val="center"/>
      <w:outlineLvl w:val="0"/>
    </w:pPr>
    <w:rPr>
      <w:rFonts w:ascii="Arial" w:eastAsia="黑体"/>
      <w:kern w:val="2"/>
      <w:sz w:val="52"/>
    </w:rPr>
  </w:style>
  <w:style w:type="paragraph" w:styleId="3">
    <w:name w:val="heading 2"/>
    <w:basedOn w:val="1"/>
    <w:next w:val="4"/>
    <w:link w:val="138"/>
    <w:autoRedefine/>
    <w:unhideWhenUsed/>
    <w:qFormat/>
    <w:uiPriority w:val="0"/>
    <w:pPr>
      <w:adjustRightInd w:val="0"/>
      <w:spacing w:before="480" w:after="360" w:line="240" w:lineRule="auto"/>
      <w:ind w:firstLine="0" w:firstLineChars="0"/>
      <w:jc w:val="center"/>
      <w:textAlignment w:val="baseline"/>
      <w:outlineLvl w:val="1"/>
    </w:pPr>
    <w:rPr>
      <w:rFonts w:ascii="黑体" w:hAnsi="黑体" w:eastAsia="黑体"/>
      <w:sz w:val="32"/>
      <w:szCs w:val="32"/>
    </w:rPr>
  </w:style>
  <w:style w:type="paragraph" w:styleId="5">
    <w:name w:val="heading 3"/>
    <w:basedOn w:val="1"/>
    <w:next w:val="4"/>
    <w:link w:val="55"/>
    <w:unhideWhenUsed/>
    <w:qFormat/>
    <w:uiPriority w:val="0"/>
    <w:pPr>
      <w:spacing w:before="0" w:beforeAutospacing="1" w:after="0" w:afterAutospacing="1" w:line="240" w:lineRule="auto"/>
      <w:ind w:firstLine="0" w:firstLineChars="0"/>
      <w:outlineLvl w:val="2"/>
    </w:pPr>
    <w:rPr>
      <w:b/>
      <w:bCs/>
      <w:sz w:val="27"/>
      <w:szCs w:val="27"/>
    </w:rPr>
  </w:style>
  <w:style w:type="paragraph" w:styleId="6">
    <w:name w:val="heading 4"/>
    <w:basedOn w:val="1"/>
    <w:next w:val="4"/>
    <w:link w:val="56"/>
    <w:autoRedefine/>
    <w:unhideWhenUsed/>
    <w:qFormat/>
    <w:uiPriority w:val="0"/>
    <w:pPr>
      <w:keepNext/>
      <w:keepLines/>
      <w:spacing w:before="40" w:after="50" w:line="372" w:lineRule="auto"/>
      <w:ind w:firstLine="0" w:firstLineChars="0"/>
      <w:outlineLvl w:val="3"/>
    </w:pPr>
    <w:rPr>
      <w:rFonts w:cs="等线"/>
      <w:b/>
    </w:rPr>
  </w:style>
  <w:style w:type="paragraph" w:styleId="7">
    <w:name w:val="heading 5"/>
    <w:basedOn w:val="1"/>
    <w:next w:val="1"/>
    <w:link w:val="126"/>
    <w:autoRedefine/>
    <w:unhideWhenUsed/>
    <w:qFormat/>
    <w:uiPriority w:val="0"/>
    <w:pPr>
      <w:outlineLvl w:val="4"/>
    </w:pPr>
    <w:rPr>
      <w:rFonts w:cs="等线"/>
      <w:b/>
      <w:bCs/>
      <w:szCs w:val="20"/>
    </w:rPr>
  </w:style>
  <w:style w:type="paragraph" w:styleId="8">
    <w:name w:val="heading 6"/>
    <w:basedOn w:val="1"/>
    <w:next w:val="1"/>
    <w:link w:val="58"/>
    <w:unhideWhenUsed/>
    <w:qFormat/>
    <w:uiPriority w:val="0"/>
    <w:pPr>
      <w:keepNext/>
      <w:keepLines/>
      <w:spacing w:before="240" w:after="64" w:line="317" w:lineRule="auto"/>
      <w:outlineLvl w:val="5"/>
    </w:pPr>
    <w:rPr>
      <w:rFonts w:ascii="Arial" w:hAnsi="Arial" w:eastAsia="黑体"/>
      <w:b/>
    </w:rPr>
  </w:style>
  <w:style w:type="paragraph" w:styleId="9">
    <w:name w:val="heading 7"/>
    <w:basedOn w:val="1"/>
    <w:next w:val="1"/>
    <w:link w:val="59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link w:val="60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link w:val="6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36">
    <w:name w:val="Default Paragraph Font"/>
    <w:semiHidden/>
    <w:unhideWhenUsed/>
    <w:qFormat/>
    <w:uiPriority w:val="1"/>
  </w:style>
  <w:style w:type="table" w:default="1" w:styleId="3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71"/>
    <w:qFormat/>
    <w:uiPriority w:val="0"/>
    <w:pPr>
      <w:spacing w:line="120" w:lineRule="auto"/>
      <w:ind w:firstLine="0" w:firstLineChars="0"/>
    </w:pPr>
    <w:rPr>
      <w:sz w:val="21"/>
    </w:rPr>
  </w:style>
  <w:style w:type="paragraph" w:styleId="12">
    <w:name w:val="toc 7"/>
    <w:basedOn w:val="1"/>
    <w:next w:val="1"/>
    <w:autoRedefine/>
    <w:unhideWhenUsed/>
    <w:qFormat/>
    <w:uiPriority w:val="39"/>
    <w:pPr>
      <w:spacing w:after="160" w:line="278" w:lineRule="auto"/>
      <w:ind w:left="2520" w:leftChars="1200" w:firstLine="0" w:firstLineChars="0"/>
    </w:pPr>
    <w:rPr>
      <w:rFonts w:asciiTheme="minorHAnsi" w:hAnsiTheme="minorHAnsi" w:eastAsiaTheme="minorEastAsia"/>
      <w:sz w:val="22"/>
      <w14:ligatures w14:val="standardContextual"/>
    </w:rPr>
  </w:style>
  <w:style w:type="paragraph" w:styleId="1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4">
    <w:name w:val="Block Text"/>
    <w:basedOn w:val="4"/>
    <w:next w:val="4"/>
    <w:unhideWhenUsed/>
    <w:qFormat/>
    <w:uiPriority w:val="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</w:pPr>
  </w:style>
  <w:style w:type="paragraph" w:styleId="15">
    <w:name w:val="toc 5"/>
    <w:basedOn w:val="1"/>
    <w:next w:val="1"/>
    <w:link w:val="131"/>
    <w:autoRedefine/>
    <w:qFormat/>
    <w:uiPriority w:val="39"/>
    <w:pPr>
      <w:spacing w:line="240" w:lineRule="auto"/>
      <w:ind w:firstLine="0" w:firstLineChars="0"/>
      <w:jc w:val="center"/>
    </w:pPr>
  </w:style>
  <w:style w:type="paragraph" w:styleId="16">
    <w:name w:val="toc 3"/>
    <w:basedOn w:val="1"/>
    <w:next w:val="1"/>
    <w:qFormat/>
    <w:uiPriority w:val="39"/>
    <w:pPr>
      <w:spacing w:line="240" w:lineRule="auto"/>
      <w:ind w:left="839" w:firstLine="1040"/>
      <w:jc w:val="center"/>
    </w:pPr>
  </w:style>
  <w:style w:type="paragraph" w:styleId="17">
    <w:name w:val="toc 8"/>
    <w:basedOn w:val="1"/>
    <w:next w:val="1"/>
    <w:autoRedefine/>
    <w:unhideWhenUsed/>
    <w:qFormat/>
    <w:uiPriority w:val="39"/>
    <w:pPr>
      <w:spacing w:after="160" w:line="278" w:lineRule="auto"/>
      <w:ind w:left="2940" w:leftChars="1400" w:firstLine="0" w:firstLineChars="0"/>
    </w:pPr>
    <w:rPr>
      <w:rFonts w:asciiTheme="minorHAnsi" w:hAnsiTheme="minorHAnsi" w:eastAsiaTheme="minorEastAsia"/>
      <w:sz w:val="22"/>
      <w14:ligatures w14:val="standardContextual"/>
    </w:rPr>
  </w:style>
  <w:style w:type="paragraph" w:styleId="18">
    <w:name w:val="Date"/>
    <w:basedOn w:val="1"/>
    <w:next w:val="1"/>
    <w:qFormat/>
    <w:uiPriority w:val="0"/>
    <w:pPr>
      <w:ind w:left="100" w:leftChars="2500"/>
    </w:pPr>
  </w:style>
  <w:style w:type="paragraph" w:styleId="19">
    <w:name w:val="endnote text"/>
    <w:basedOn w:val="1"/>
    <w:qFormat/>
    <w:uiPriority w:val="0"/>
    <w:pPr>
      <w:snapToGrid w:val="0"/>
    </w:pPr>
  </w:style>
  <w:style w:type="paragraph" w:styleId="20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21">
    <w:name w:val="header"/>
    <w:basedOn w:val="1"/>
    <w:link w:val="136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2">
    <w:name w:val="toc 1"/>
    <w:basedOn w:val="1"/>
    <w:next w:val="1"/>
    <w:qFormat/>
    <w:uiPriority w:val="39"/>
  </w:style>
  <w:style w:type="paragraph" w:styleId="23">
    <w:name w:val="toc 4"/>
    <w:basedOn w:val="1"/>
    <w:next w:val="1"/>
    <w:autoRedefine/>
    <w:qFormat/>
    <w:uiPriority w:val="39"/>
    <w:pPr>
      <w:ind w:left="1260" w:leftChars="600"/>
    </w:pPr>
  </w:style>
  <w:style w:type="paragraph" w:styleId="24">
    <w:name w:val="index heading"/>
    <w:basedOn w:val="25"/>
    <w:next w:val="1"/>
    <w:qFormat/>
    <w:uiPriority w:val="34"/>
  </w:style>
  <w:style w:type="paragraph" w:styleId="25">
    <w:name w:val="Title"/>
    <w:basedOn w:val="2"/>
    <w:link w:val="47"/>
    <w:qFormat/>
    <w:uiPriority w:val="34"/>
  </w:style>
  <w:style w:type="paragraph" w:styleId="26">
    <w:name w:val="Subtitle"/>
    <w:basedOn w:val="1"/>
    <w:next w:val="1"/>
    <w:link w:val="48"/>
    <w:qFormat/>
    <w:uiPriority w:val="34"/>
    <w:pPr>
      <w:widowControl w:val="0"/>
      <w:spacing w:before="480" w:after="120" w:line="400" w:lineRule="exact"/>
      <w:ind w:firstLine="0" w:firstLineChars="0"/>
      <w:jc w:val="center"/>
      <w:outlineLvl w:val="9"/>
    </w:pPr>
    <w:rPr>
      <w:rFonts w:ascii="黑体" w:hAnsi="黑体" w:eastAsia="黑体"/>
      <w:kern w:val="2"/>
      <w:sz w:val="28"/>
      <w:szCs w:val="28"/>
    </w:rPr>
  </w:style>
  <w:style w:type="paragraph" w:styleId="27">
    <w:name w:val="footnote text"/>
    <w:basedOn w:val="1"/>
    <w:link w:val="112"/>
    <w:qFormat/>
    <w:uiPriority w:val="0"/>
    <w:pPr>
      <w:snapToGrid w:val="0"/>
    </w:pPr>
    <w:rPr>
      <w:sz w:val="18"/>
      <w:szCs w:val="18"/>
    </w:rPr>
  </w:style>
  <w:style w:type="paragraph" w:styleId="28">
    <w:name w:val="toc 6"/>
    <w:basedOn w:val="1"/>
    <w:next w:val="1"/>
    <w:autoRedefine/>
    <w:unhideWhenUsed/>
    <w:qFormat/>
    <w:uiPriority w:val="39"/>
    <w:pPr>
      <w:spacing w:after="160" w:line="278" w:lineRule="auto"/>
      <w:ind w:left="2100" w:leftChars="1000" w:firstLine="0" w:firstLineChars="0"/>
    </w:pPr>
    <w:rPr>
      <w:rFonts w:asciiTheme="minorHAnsi" w:hAnsiTheme="minorHAnsi" w:eastAsiaTheme="minorEastAsia"/>
      <w:sz w:val="22"/>
      <w14:ligatures w14:val="standardContextual"/>
    </w:rPr>
  </w:style>
  <w:style w:type="paragraph" w:styleId="29">
    <w:name w:val="table of figures"/>
    <w:basedOn w:val="1"/>
    <w:next w:val="1"/>
    <w:qFormat/>
    <w:uiPriority w:val="99"/>
    <w:pPr>
      <w:ind w:left="200" w:leftChars="200" w:hanging="200" w:hangingChars="200"/>
    </w:pPr>
  </w:style>
  <w:style w:type="paragraph" w:styleId="30">
    <w:name w:val="toc 2"/>
    <w:basedOn w:val="1"/>
    <w:next w:val="1"/>
    <w:qFormat/>
    <w:uiPriority w:val="39"/>
    <w:pPr>
      <w:ind w:left="420" w:leftChars="200"/>
    </w:pPr>
  </w:style>
  <w:style w:type="paragraph" w:styleId="31">
    <w:name w:val="toc 9"/>
    <w:basedOn w:val="1"/>
    <w:next w:val="1"/>
    <w:autoRedefine/>
    <w:unhideWhenUsed/>
    <w:qFormat/>
    <w:uiPriority w:val="39"/>
    <w:pPr>
      <w:spacing w:after="160" w:line="278" w:lineRule="auto"/>
      <w:ind w:left="3360" w:leftChars="1600" w:firstLine="0" w:firstLineChars="0"/>
    </w:pPr>
    <w:rPr>
      <w:rFonts w:asciiTheme="minorHAnsi" w:hAnsiTheme="minorHAnsi" w:eastAsiaTheme="minorEastAsia"/>
      <w:sz w:val="22"/>
      <w14:ligatures w14:val="standardContextual"/>
    </w:rPr>
  </w:style>
  <w:style w:type="paragraph" w:styleId="3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</w:rPr>
  </w:style>
  <w:style w:type="paragraph" w:styleId="33">
    <w:name w:val="Normal (Web)"/>
    <w:basedOn w:val="1"/>
    <w:qFormat/>
    <w:uiPriority w:val="0"/>
    <w:pPr>
      <w:spacing w:beforeAutospacing="1" w:afterAutospacing="1"/>
    </w:pPr>
  </w:style>
  <w:style w:type="table" w:styleId="35">
    <w:name w:val="Table Grid"/>
    <w:basedOn w:val="3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7">
    <w:name w:val="Strong"/>
    <w:basedOn w:val="36"/>
    <w:qFormat/>
    <w:uiPriority w:val="0"/>
    <w:rPr>
      <w:b/>
    </w:rPr>
  </w:style>
  <w:style w:type="character" w:styleId="38">
    <w:name w:val="endnote reference"/>
    <w:basedOn w:val="36"/>
    <w:qFormat/>
    <w:uiPriority w:val="0"/>
    <w:rPr>
      <w:vertAlign w:val="superscript"/>
    </w:rPr>
  </w:style>
  <w:style w:type="character" w:styleId="39">
    <w:name w:val="FollowedHyperlink"/>
    <w:basedOn w:val="40"/>
    <w:qFormat/>
    <w:uiPriority w:val="0"/>
    <w:rPr>
      <w:rFonts w:ascii="Times New Roman" w:hAnsi="Times New Roman" w:cs="Times New Roman"/>
      <w:sz w:val="24"/>
      <w:szCs w:val="24"/>
      <w:lang w:val="en-US" w:eastAsia="zh-CN" w:bidi="ar-SA"/>
    </w:rPr>
  </w:style>
  <w:style w:type="character" w:styleId="40">
    <w:name w:val="Hyperlink"/>
    <w:basedOn w:val="41"/>
    <w:qFormat/>
    <w:uiPriority w:val="99"/>
    <w:rPr>
      <w:rFonts w:eastAsia="宋体"/>
      <w:color w:val="0000FF"/>
      <w:u w:val="single"/>
    </w:rPr>
  </w:style>
  <w:style w:type="character" w:customStyle="1" w:styleId="41">
    <w:name w:val="Body Text Char"/>
    <w:basedOn w:val="36"/>
    <w:link w:val="4"/>
    <w:qFormat/>
    <w:uiPriority w:val="0"/>
    <w:rPr>
      <w:sz w:val="21"/>
    </w:rPr>
  </w:style>
  <w:style w:type="character" w:styleId="42">
    <w:name w:val="Emphasis"/>
    <w:basedOn w:val="36"/>
    <w:qFormat/>
    <w:uiPriority w:val="0"/>
    <w:rPr>
      <w:i/>
    </w:rPr>
  </w:style>
  <w:style w:type="character" w:styleId="43">
    <w:name w:val="HTML Code"/>
    <w:basedOn w:val="36"/>
    <w:qFormat/>
    <w:uiPriority w:val="0"/>
    <w:rPr>
      <w:rFonts w:ascii="Courier New" w:hAnsi="Courier New"/>
      <w:sz w:val="20"/>
    </w:rPr>
  </w:style>
  <w:style w:type="character" w:styleId="44">
    <w:name w:val="footnote reference"/>
    <w:basedOn w:val="36"/>
    <w:qFormat/>
    <w:uiPriority w:val="0"/>
    <w:rPr>
      <w:vertAlign w:val="superscript"/>
    </w:rPr>
  </w:style>
  <w:style w:type="paragraph" w:customStyle="1" w:styleId="45">
    <w:name w:val="First Paragraph"/>
    <w:basedOn w:val="4"/>
    <w:next w:val="4"/>
    <w:qFormat/>
    <w:uiPriority w:val="0"/>
  </w:style>
  <w:style w:type="paragraph" w:customStyle="1" w:styleId="46">
    <w:name w:val="Compact"/>
    <w:basedOn w:val="4"/>
    <w:qFormat/>
    <w:uiPriority w:val="0"/>
    <w:pPr>
      <w:spacing w:before="36" w:after="36"/>
    </w:pPr>
  </w:style>
  <w:style w:type="character" w:customStyle="1" w:styleId="47">
    <w:name w:val="Title Char"/>
    <w:link w:val="25"/>
    <w:uiPriority w:val="10"/>
  </w:style>
  <w:style w:type="character" w:customStyle="1" w:styleId="48">
    <w:name w:val="Subtitle Char"/>
    <w:link w:val="26"/>
    <w:uiPriority w:val="11"/>
    <w:rPr>
      <w:rFonts w:ascii="黑体" w:hAnsi="黑体" w:eastAsia="黑体"/>
      <w:kern w:val="2"/>
      <w:sz w:val="28"/>
      <w:szCs w:val="28"/>
    </w:rPr>
  </w:style>
  <w:style w:type="paragraph" w:customStyle="1" w:styleId="49">
    <w:name w:val="Author"/>
    <w:basedOn w:val="25"/>
    <w:next w:val="4"/>
    <w:qFormat/>
    <w:uiPriority w:val="0"/>
    <w:pPr>
      <w:keepNext/>
      <w:keepLines/>
    </w:pPr>
    <w:rPr>
      <w:sz w:val="24"/>
      <w:szCs w:val="24"/>
    </w:rPr>
  </w:style>
  <w:style w:type="paragraph" w:customStyle="1" w:styleId="50">
    <w:name w:val="Abstract Title"/>
    <w:basedOn w:val="1"/>
    <w:next w:val="5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51">
    <w:name w:val="Abstract"/>
    <w:basedOn w:val="1"/>
    <w:next w:val="4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52">
    <w:name w:val="Bibliography"/>
    <w:basedOn w:val="1"/>
    <w:qFormat/>
    <w:uiPriority w:val="0"/>
  </w:style>
  <w:style w:type="character" w:customStyle="1" w:styleId="53">
    <w:name w:val="Heading 1 Char"/>
    <w:link w:val="2"/>
    <w:uiPriority w:val="9"/>
    <w:rPr>
      <w:rFonts w:ascii="Arial" w:eastAsia="黑体"/>
      <w:kern w:val="2"/>
      <w:sz w:val="52"/>
    </w:rPr>
  </w:style>
  <w:style w:type="character" w:customStyle="1" w:styleId="54">
    <w:name w:val="Heading 2 Char"/>
    <w:link w:val="3"/>
    <w:semiHidden/>
    <w:uiPriority w:val="9"/>
    <w:rPr>
      <w:rFonts w:ascii="黑体" w:hAnsi="黑体" w:eastAsia="黑体"/>
      <w:sz w:val="32"/>
      <w:szCs w:val="32"/>
    </w:rPr>
  </w:style>
  <w:style w:type="character" w:customStyle="1" w:styleId="55">
    <w:name w:val="Heading 3 Char"/>
    <w:link w:val="5"/>
    <w:semiHidden/>
    <w:uiPriority w:val="9"/>
    <w:rPr>
      <w:b/>
      <w:bCs/>
      <w:sz w:val="27"/>
      <w:szCs w:val="27"/>
    </w:rPr>
  </w:style>
  <w:style w:type="character" w:customStyle="1" w:styleId="56">
    <w:name w:val="Heading 4 Char"/>
    <w:link w:val="6"/>
    <w:semiHidden/>
    <w:uiPriority w:val="9"/>
    <w:rPr>
      <w:rFonts w:cs="等线"/>
      <w:b/>
    </w:rPr>
  </w:style>
  <w:style w:type="character" w:customStyle="1" w:styleId="57">
    <w:name w:val="Heading 5 Char"/>
    <w:link w:val="7"/>
    <w:semiHidden/>
    <w:uiPriority w:val="9"/>
    <w:rPr>
      <w:rFonts w:cs="等线"/>
      <w:b/>
      <w:bCs/>
      <w:szCs w:val="20"/>
    </w:rPr>
  </w:style>
  <w:style w:type="character" w:customStyle="1" w:styleId="58">
    <w:name w:val="Heading 6 Char"/>
    <w:link w:val="8"/>
    <w:semiHidden/>
    <w:uiPriority w:val="9"/>
    <w:rPr>
      <w:rFonts w:ascii="Arial" w:hAnsi="Arial" w:eastAsia="黑体"/>
      <w:b/>
    </w:rPr>
  </w:style>
  <w:style w:type="character" w:customStyle="1" w:styleId="59">
    <w:name w:val="Heading 7 Char"/>
    <w:link w:val="9"/>
    <w:semiHidden/>
    <w:uiPriority w:val="9"/>
    <w:rPr>
      <w:b/>
      <w:sz w:val="24"/>
    </w:rPr>
  </w:style>
  <w:style w:type="character" w:customStyle="1" w:styleId="60">
    <w:name w:val="Heading 8 Char"/>
    <w:link w:val="10"/>
    <w:semiHidden/>
    <w:qFormat/>
    <w:uiPriority w:val="9"/>
    <w:rPr>
      <w:rFonts w:ascii="Arial" w:hAnsi="Arial" w:eastAsia="黑体"/>
      <w:sz w:val="24"/>
    </w:rPr>
  </w:style>
  <w:style w:type="character" w:customStyle="1" w:styleId="61">
    <w:name w:val="Heading 9 Char"/>
    <w:link w:val="11"/>
    <w:semiHidden/>
    <w:qFormat/>
    <w:uiPriority w:val="9"/>
    <w:rPr>
      <w:rFonts w:ascii="Arial" w:hAnsi="Arial" w:eastAsia="黑体"/>
      <w:sz w:val="21"/>
    </w:rPr>
  </w:style>
  <w:style w:type="paragraph" w:customStyle="1" w:styleId="62">
    <w:name w:val="Footnote Block Text"/>
    <w:basedOn w:val="27"/>
    <w:next w:val="27"/>
    <w:unhideWhenUsed/>
    <w:qFormat/>
    <w:uiPriority w:val="9"/>
    <w:pPr>
      <w:spacing w:before="100" w:after="100"/>
      <w:ind w:left="480" w:right="480" w:firstLine="0"/>
    </w:pPr>
  </w:style>
  <w:style w:type="table" w:customStyle="1" w:styleId="6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4">
    <w:name w:val="Definition Term"/>
    <w:basedOn w:val="1"/>
    <w:next w:val="65"/>
    <w:qFormat/>
    <w:uiPriority w:val="0"/>
    <w:pPr>
      <w:keepNext/>
      <w:keepLines/>
      <w:spacing w:after="0"/>
    </w:pPr>
    <w:rPr>
      <w:b/>
    </w:rPr>
  </w:style>
  <w:style w:type="paragraph" w:customStyle="1" w:styleId="65">
    <w:name w:val="Definition"/>
    <w:basedOn w:val="1"/>
    <w:uiPriority w:val="0"/>
  </w:style>
  <w:style w:type="paragraph" w:customStyle="1" w:styleId="66">
    <w:name w:val="Table Caption"/>
    <w:basedOn w:val="13"/>
    <w:qFormat/>
    <w:uiPriority w:val="0"/>
    <w:pPr>
      <w:keepNext/>
    </w:pPr>
  </w:style>
  <w:style w:type="paragraph" w:customStyle="1" w:styleId="67">
    <w:name w:val="Image Caption"/>
    <w:basedOn w:val="13"/>
    <w:qFormat/>
    <w:uiPriority w:val="0"/>
  </w:style>
  <w:style w:type="paragraph" w:customStyle="1" w:styleId="68">
    <w:name w:val="Figure"/>
    <w:basedOn w:val="1"/>
    <w:uiPriority w:val="0"/>
  </w:style>
  <w:style w:type="paragraph" w:customStyle="1" w:styleId="69">
    <w:name w:val="Captioned Figure"/>
    <w:basedOn w:val="68"/>
    <w:qFormat/>
    <w:uiPriority w:val="0"/>
    <w:pPr>
      <w:keepNext/>
    </w:pPr>
  </w:style>
  <w:style w:type="character" w:customStyle="1" w:styleId="70">
    <w:name w:val="Verbatim Char"/>
    <w:basedOn w:val="71"/>
    <w:link w:val="72"/>
    <w:qFormat/>
    <w:uiPriority w:val="0"/>
  </w:style>
  <w:style w:type="character" w:customStyle="1" w:styleId="71">
    <w:name w:val="正文文本 字符1"/>
    <w:basedOn w:val="36"/>
    <w:link w:val="4"/>
    <w:qFormat/>
    <w:uiPriority w:val="0"/>
    <w:rPr>
      <w:sz w:val="21"/>
    </w:rPr>
  </w:style>
  <w:style w:type="paragraph" w:customStyle="1" w:styleId="72">
    <w:name w:val="Source Code"/>
    <w:basedOn w:val="1"/>
    <w:link w:val="70"/>
    <w:qFormat/>
    <w:uiPriority w:val="0"/>
    <w:pPr>
      <w:wordWrap w:val="0"/>
    </w:pPr>
  </w:style>
  <w:style w:type="character" w:customStyle="1" w:styleId="73">
    <w:name w:val="Section Number"/>
    <w:basedOn w:val="41"/>
    <w:qFormat/>
    <w:uiPriority w:val="0"/>
  </w:style>
  <w:style w:type="paragraph" w:customStyle="1" w:styleId="74">
    <w:name w:val="TOC Heading"/>
    <w:basedOn w:val="2"/>
    <w:next w:val="4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75">
    <w:name w:val="KeywordTok"/>
    <w:basedOn w:val="70"/>
    <w:uiPriority w:val="0"/>
    <w:rPr>
      <w:b/>
      <w:color w:val="007020"/>
    </w:rPr>
  </w:style>
  <w:style w:type="character" w:customStyle="1" w:styleId="76">
    <w:name w:val="DataTypeTok"/>
    <w:basedOn w:val="70"/>
    <w:uiPriority w:val="0"/>
    <w:rPr>
      <w:color w:val="902000"/>
    </w:rPr>
  </w:style>
  <w:style w:type="character" w:customStyle="1" w:styleId="77">
    <w:name w:val="DecValTok"/>
    <w:basedOn w:val="70"/>
    <w:uiPriority w:val="0"/>
    <w:rPr>
      <w:color w:val="40A070"/>
    </w:rPr>
  </w:style>
  <w:style w:type="character" w:customStyle="1" w:styleId="78">
    <w:name w:val="BaseNTok"/>
    <w:basedOn w:val="70"/>
    <w:uiPriority w:val="0"/>
    <w:rPr>
      <w:color w:val="40A070"/>
    </w:rPr>
  </w:style>
  <w:style w:type="character" w:customStyle="1" w:styleId="79">
    <w:name w:val="FloatTok"/>
    <w:basedOn w:val="70"/>
    <w:uiPriority w:val="0"/>
    <w:rPr>
      <w:color w:val="40A070"/>
    </w:rPr>
  </w:style>
  <w:style w:type="character" w:customStyle="1" w:styleId="80">
    <w:name w:val="ConstantTok"/>
    <w:basedOn w:val="70"/>
    <w:uiPriority w:val="0"/>
    <w:rPr>
      <w:color w:val="880000"/>
    </w:rPr>
  </w:style>
  <w:style w:type="character" w:customStyle="1" w:styleId="81">
    <w:name w:val="CharTok"/>
    <w:basedOn w:val="70"/>
    <w:qFormat/>
    <w:uiPriority w:val="0"/>
    <w:rPr>
      <w:color w:val="4070A0"/>
    </w:rPr>
  </w:style>
  <w:style w:type="character" w:customStyle="1" w:styleId="82">
    <w:name w:val="SpecialCharTok"/>
    <w:basedOn w:val="70"/>
    <w:uiPriority w:val="0"/>
    <w:rPr>
      <w:color w:val="4070A0"/>
    </w:rPr>
  </w:style>
  <w:style w:type="character" w:customStyle="1" w:styleId="83">
    <w:name w:val="StringTok"/>
    <w:basedOn w:val="70"/>
    <w:uiPriority w:val="0"/>
    <w:rPr>
      <w:color w:val="4070A0"/>
    </w:rPr>
  </w:style>
  <w:style w:type="character" w:customStyle="1" w:styleId="84">
    <w:name w:val="VerbatimStringTok"/>
    <w:basedOn w:val="70"/>
    <w:uiPriority w:val="0"/>
    <w:rPr>
      <w:color w:val="4070A0"/>
    </w:rPr>
  </w:style>
  <w:style w:type="character" w:customStyle="1" w:styleId="85">
    <w:name w:val="SpecialStringTok"/>
    <w:basedOn w:val="70"/>
    <w:uiPriority w:val="0"/>
    <w:rPr>
      <w:color w:val="BB6688"/>
    </w:rPr>
  </w:style>
  <w:style w:type="character" w:customStyle="1" w:styleId="86">
    <w:name w:val="ImportTok"/>
    <w:basedOn w:val="70"/>
    <w:uiPriority w:val="0"/>
    <w:rPr>
      <w:b/>
      <w:color w:val="008000"/>
    </w:rPr>
  </w:style>
  <w:style w:type="character" w:customStyle="1" w:styleId="87">
    <w:name w:val="CommentTok"/>
    <w:basedOn w:val="70"/>
    <w:uiPriority w:val="0"/>
    <w:rPr>
      <w:i/>
      <w:color w:val="60A0B0"/>
    </w:rPr>
  </w:style>
  <w:style w:type="character" w:customStyle="1" w:styleId="88">
    <w:name w:val="DocumentationTok"/>
    <w:basedOn w:val="70"/>
    <w:qFormat/>
    <w:uiPriority w:val="0"/>
    <w:rPr>
      <w:i/>
      <w:color w:val="BA2121"/>
    </w:rPr>
  </w:style>
  <w:style w:type="character" w:customStyle="1" w:styleId="89">
    <w:name w:val="AnnotationTok"/>
    <w:basedOn w:val="70"/>
    <w:uiPriority w:val="0"/>
    <w:rPr>
      <w:b/>
      <w:i/>
      <w:color w:val="60A0B0"/>
    </w:rPr>
  </w:style>
  <w:style w:type="character" w:customStyle="1" w:styleId="90">
    <w:name w:val="CommentVarTok"/>
    <w:basedOn w:val="70"/>
    <w:qFormat/>
    <w:uiPriority w:val="0"/>
    <w:rPr>
      <w:b/>
      <w:i/>
      <w:color w:val="60A0B0"/>
    </w:rPr>
  </w:style>
  <w:style w:type="character" w:customStyle="1" w:styleId="91">
    <w:name w:val="OtherTok"/>
    <w:basedOn w:val="70"/>
    <w:uiPriority w:val="0"/>
    <w:rPr>
      <w:color w:val="007020"/>
    </w:rPr>
  </w:style>
  <w:style w:type="character" w:customStyle="1" w:styleId="92">
    <w:name w:val="FunctionTok"/>
    <w:basedOn w:val="70"/>
    <w:uiPriority w:val="0"/>
    <w:rPr>
      <w:color w:val="06287E"/>
    </w:rPr>
  </w:style>
  <w:style w:type="character" w:customStyle="1" w:styleId="93">
    <w:name w:val="VariableTok"/>
    <w:basedOn w:val="70"/>
    <w:uiPriority w:val="0"/>
    <w:rPr>
      <w:color w:val="19177C"/>
    </w:rPr>
  </w:style>
  <w:style w:type="character" w:customStyle="1" w:styleId="94">
    <w:name w:val="ControlFlowTok"/>
    <w:basedOn w:val="70"/>
    <w:qFormat/>
    <w:uiPriority w:val="0"/>
    <w:rPr>
      <w:b/>
      <w:color w:val="007020"/>
    </w:rPr>
  </w:style>
  <w:style w:type="character" w:customStyle="1" w:styleId="95">
    <w:name w:val="OperatorTok"/>
    <w:basedOn w:val="70"/>
    <w:uiPriority w:val="0"/>
    <w:rPr>
      <w:color w:val="666666"/>
    </w:rPr>
  </w:style>
  <w:style w:type="character" w:customStyle="1" w:styleId="96">
    <w:name w:val="BuiltInTok"/>
    <w:basedOn w:val="70"/>
    <w:uiPriority w:val="0"/>
    <w:rPr>
      <w:color w:val="008000"/>
    </w:rPr>
  </w:style>
  <w:style w:type="character" w:customStyle="1" w:styleId="97">
    <w:name w:val="ExtensionTok"/>
    <w:basedOn w:val="70"/>
    <w:uiPriority w:val="0"/>
  </w:style>
  <w:style w:type="character" w:customStyle="1" w:styleId="98">
    <w:name w:val="PreprocessorTok"/>
    <w:basedOn w:val="70"/>
    <w:qFormat/>
    <w:uiPriority w:val="0"/>
    <w:rPr>
      <w:color w:val="BC7A00"/>
    </w:rPr>
  </w:style>
  <w:style w:type="character" w:customStyle="1" w:styleId="99">
    <w:name w:val="AttributeTok"/>
    <w:basedOn w:val="70"/>
    <w:uiPriority w:val="0"/>
    <w:rPr>
      <w:color w:val="7D9029"/>
    </w:rPr>
  </w:style>
  <w:style w:type="character" w:customStyle="1" w:styleId="100">
    <w:name w:val="RegionMarkerTok"/>
    <w:basedOn w:val="70"/>
    <w:uiPriority w:val="0"/>
  </w:style>
  <w:style w:type="character" w:customStyle="1" w:styleId="101">
    <w:name w:val="InformationTok"/>
    <w:basedOn w:val="70"/>
    <w:uiPriority w:val="0"/>
    <w:rPr>
      <w:b/>
      <w:i/>
      <w:color w:val="60A0B0"/>
    </w:rPr>
  </w:style>
  <w:style w:type="character" w:customStyle="1" w:styleId="102">
    <w:name w:val="WarningTok"/>
    <w:basedOn w:val="70"/>
    <w:uiPriority w:val="0"/>
    <w:rPr>
      <w:b/>
      <w:i/>
      <w:color w:val="60A0B0"/>
    </w:rPr>
  </w:style>
  <w:style w:type="character" w:customStyle="1" w:styleId="103">
    <w:name w:val="AlertTok"/>
    <w:basedOn w:val="70"/>
    <w:uiPriority w:val="0"/>
    <w:rPr>
      <w:b/>
      <w:color w:val="FF0000"/>
    </w:rPr>
  </w:style>
  <w:style w:type="character" w:customStyle="1" w:styleId="104">
    <w:name w:val="ErrorTok"/>
    <w:basedOn w:val="70"/>
    <w:uiPriority w:val="0"/>
    <w:rPr>
      <w:b/>
      <w:color w:val="FF0000"/>
    </w:rPr>
  </w:style>
  <w:style w:type="character" w:customStyle="1" w:styleId="105">
    <w:name w:val="NormalTok"/>
    <w:basedOn w:val="70"/>
    <w:uiPriority w:val="0"/>
  </w:style>
  <w:style w:type="character" w:customStyle="1" w:styleId="106">
    <w:name w:val="正文文本 字符"/>
    <w:basedOn w:val="36"/>
    <w:qFormat/>
    <w:uiPriority w:val="0"/>
    <w:rPr>
      <w:rFonts w:eastAsia="宋体"/>
    </w:rPr>
  </w:style>
  <w:style w:type="paragraph" w:customStyle="1" w:styleId="107">
    <w:name w:val="表格索引"/>
    <w:basedOn w:val="1"/>
    <w:qFormat/>
    <w:uiPriority w:val="0"/>
    <w:pPr>
      <w:spacing w:line="240" w:lineRule="auto"/>
      <w:ind w:firstLine="0" w:firstLineChars="0"/>
      <w:jc w:val="center"/>
    </w:pPr>
  </w:style>
  <w:style w:type="paragraph" w:customStyle="1" w:styleId="108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09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10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11">
    <w:name w:val="TOC 标题1"/>
    <w:basedOn w:val="3"/>
    <w:next w:val="1"/>
    <w:unhideWhenUsed/>
    <w:qFormat/>
    <w:uiPriority w:val="39"/>
    <w:pPr>
      <w:outlineLvl w:val="9"/>
    </w:pPr>
  </w:style>
  <w:style w:type="character" w:customStyle="1" w:styleId="112">
    <w:name w:val="脚注文本 字符"/>
    <w:basedOn w:val="36"/>
    <w:link w:val="27"/>
    <w:qFormat/>
    <w:uiPriority w:val="0"/>
    <w:rPr>
      <w:sz w:val="18"/>
      <w:szCs w:val="18"/>
    </w:rPr>
  </w:style>
  <w:style w:type="paragraph" w:styleId="113">
    <w:name w:val="List Paragraph"/>
    <w:basedOn w:val="1"/>
    <w:unhideWhenUsed/>
    <w:qFormat/>
    <w:uiPriority w:val="99"/>
  </w:style>
  <w:style w:type="table" w:customStyle="1" w:styleId="114">
    <w:name w:val="无格式表格 31"/>
    <w:basedOn w:val="34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15">
    <w:name w:val="网格表 4 - 着色 61"/>
    <w:basedOn w:val="34"/>
    <w:qFormat/>
    <w:uiPriority w:val="49"/>
    <w:tblPr>
      <w:tblBorders>
        <w:top w:val="single" w:color="8ED873" w:themeColor="accent6" w:themeTint="99" w:sz="4" w:space="0"/>
        <w:left w:val="single" w:color="8ED873" w:themeColor="accent6" w:themeTint="99" w:sz="4" w:space="0"/>
        <w:bottom w:val="single" w:color="8ED873" w:themeColor="accent6" w:themeTint="99" w:sz="4" w:space="0"/>
        <w:right w:val="single" w:color="8ED873" w:themeColor="accent6" w:themeTint="99" w:sz="4" w:space="0"/>
        <w:insideH w:val="single" w:color="8ED873" w:themeColor="accent6" w:themeTint="99" w:sz="4" w:space="0"/>
        <w:insideV w:val="single" w:color="8ED873" w:themeColor="accent6" w:themeTint="99" w:sz="4" w:space="0"/>
      </w:tblBorders>
    </w:tblPr>
    <w:tblStylePr w:type="firstRow">
      <w:rPr>
        <w:b/>
        <w:bCs/>
        <w:color w:val="FFFFFF" w:themeColor="background1"/>
      </w:rPr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F2D0" w:themeFill="accent6" w:themeFillTint="33"/>
      </w:tcPr>
    </w:tblStylePr>
    <w:tblStylePr w:type="band1Horz">
      <w:tcPr>
        <w:shd w:val="clear" w:color="auto" w:fill="D9F2D0" w:themeFill="accent6" w:themeFillTint="33"/>
      </w:tcPr>
    </w:tblStylePr>
  </w:style>
  <w:style w:type="table" w:customStyle="1" w:styleId="116">
    <w:name w:val="网格表 5 深色1"/>
    <w:basedOn w:val="34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  <w:style w:type="table" w:customStyle="1" w:styleId="117">
    <w:name w:val="网格表 5 深色 - 着色 61"/>
    <w:basedOn w:val="34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cPr>
        <w:shd w:val="clear" w:color="auto" w:fill="B3E5A1" w:themeFill="accent6" w:themeFillTint="66"/>
      </w:tcPr>
    </w:tblStylePr>
    <w:tblStylePr w:type="band1Horz">
      <w:tcPr>
        <w:shd w:val="clear" w:color="auto" w:fill="B3E5A1" w:themeFill="accent6" w:themeFillTint="66"/>
      </w:tcPr>
    </w:tblStylePr>
  </w:style>
  <w:style w:type="table" w:customStyle="1" w:styleId="118">
    <w:name w:val="网格表 5 深色 - 着色 11"/>
    <w:basedOn w:val="34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cPr>
        <w:shd w:val="clear" w:color="auto" w:fill="83CAEB" w:themeFill="accent1" w:themeFillTint="66"/>
      </w:tcPr>
    </w:tblStylePr>
    <w:tblStylePr w:type="band1Horz">
      <w:tcPr>
        <w:shd w:val="clear" w:color="auto" w:fill="83CAEB" w:themeFill="accent1" w:themeFillTint="66"/>
      </w:tcPr>
    </w:tblStylePr>
  </w:style>
  <w:style w:type="table" w:customStyle="1" w:styleId="119">
    <w:name w:val="网格表 4 - 着色 11"/>
    <w:basedOn w:val="34"/>
    <w:qFormat/>
    <w:uiPriority w:val="49"/>
    <w:tblPr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1E4F5" w:themeFill="accent1" w:themeFillTint="33"/>
      </w:tcPr>
    </w:tblStylePr>
    <w:tblStylePr w:type="band1Horz">
      <w:tcPr>
        <w:shd w:val="clear" w:color="auto" w:fill="C1E4F5" w:themeFill="accent1" w:themeFillTint="33"/>
      </w:tcPr>
    </w:tblStylePr>
  </w:style>
  <w:style w:type="table" w:customStyle="1" w:styleId="120">
    <w:name w:val="网格表 1 浅色1"/>
    <w:basedOn w:val="34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21">
    <w:name w:val="网格表 21"/>
    <w:basedOn w:val="34"/>
    <w:qFormat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122">
    <w:name w:val="网格表 4 - 着色 21"/>
    <w:basedOn w:val="34"/>
    <w:qFormat/>
    <w:uiPriority w:val="49"/>
    <w:tblPr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AE2D5" w:themeFill="accent2" w:themeFillTint="33"/>
      </w:tcPr>
    </w:tblStylePr>
    <w:tblStylePr w:type="band1Horz">
      <w:tcPr>
        <w:shd w:val="clear" w:color="auto" w:fill="FAE2D5" w:themeFill="accent2" w:themeFillTint="33"/>
      </w:tcPr>
    </w:tblStylePr>
  </w:style>
  <w:style w:type="table" w:customStyle="1" w:styleId="123">
    <w:name w:val="网格表 4 - 着色 41"/>
    <w:basedOn w:val="34"/>
    <w:qFormat/>
    <w:uiPriority w:val="49"/>
    <w:tblPr>
      <w:tblBorders>
        <w:top w:val="single" w:color="60CBF3" w:themeColor="accent4" w:themeTint="99" w:sz="4" w:space="0"/>
        <w:left w:val="single" w:color="60CBF3" w:themeColor="accent4" w:themeTint="99" w:sz="4" w:space="0"/>
        <w:bottom w:val="single" w:color="60CBF3" w:themeColor="accent4" w:themeTint="99" w:sz="4" w:space="0"/>
        <w:right w:val="single" w:color="60CBF3" w:themeColor="accent4" w:themeTint="99" w:sz="4" w:space="0"/>
        <w:insideH w:val="single" w:color="60CBF3" w:themeColor="accent4" w:themeTint="99" w:sz="4" w:space="0"/>
        <w:insideV w:val="single" w:color="60CBF3" w:themeColor="accent4" w:themeTint="99" w:sz="4" w:space="0"/>
      </w:tblBorders>
    </w:tblPr>
    <w:tblStylePr w:type="firstRow">
      <w:rPr>
        <w:b/>
        <w:bCs/>
        <w:color w:val="FFFFFF" w:themeColor="background1"/>
      </w:rPr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AEDFB" w:themeFill="accent4" w:themeFillTint="33"/>
      </w:tcPr>
    </w:tblStylePr>
    <w:tblStylePr w:type="band1Horz">
      <w:tcPr>
        <w:shd w:val="clear" w:color="auto" w:fill="CAEDFB" w:themeFill="accent4" w:themeFillTint="33"/>
      </w:tcPr>
    </w:tblStylePr>
  </w:style>
  <w:style w:type="table" w:customStyle="1" w:styleId="124">
    <w:name w:val="网格表 41"/>
    <w:basedOn w:val="34"/>
    <w:qFormat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character" w:styleId="125">
    <w:name w:val="Placeholder Text"/>
    <w:basedOn w:val="36"/>
    <w:unhideWhenUsed/>
    <w:qFormat/>
    <w:uiPriority w:val="99"/>
    <w:rPr>
      <w:color w:val="666666"/>
    </w:rPr>
  </w:style>
  <w:style w:type="character" w:customStyle="1" w:styleId="126">
    <w:name w:val="标题 5 字符"/>
    <w:link w:val="7"/>
    <w:qFormat/>
    <w:uiPriority w:val="0"/>
    <w:rPr>
      <w:rFonts w:cs="等线"/>
      <w:b/>
      <w:bCs/>
      <w:szCs w:val="20"/>
    </w:rPr>
  </w:style>
  <w:style w:type="table" w:customStyle="1" w:styleId="127">
    <w:name w:val="无格式表格 32"/>
    <w:basedOn w:val="34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paragraph" w:customStyle="1" w:styleId="128">
    <w:name w:val="使用授权说明标题"/>
    <w:basedOn w:val="26"/>
    <w:next w:val="1"/>
    <w:qFormat/>
    <w:uiPriority w:val="34"/>
    <w:rPr>
      <w:sz w:val="44"/>
      <w:szCs w:val="44"/>
    </w:rPr>
  </w:style>
  <w:style w:type="paragraph" w:customStyle="1" w:styleId="129">
    <w:name w:val="书脊"/>
    <w:qFormat/>
    <w:uiPriority w:val="98"/>
    <w:pPr>
      <w:widowControl w:val="0"/>
      <w:textAlignment w:val="center"/>
    </w:pPr>
    <w:rPr>
      <w:rFonts w:ascii="仿宋" w:hAnsi="仿宋" w:eastAsia="仿宋" w:cstheme="minorBidi"/>
      <w:sz w:val="30"/>
      <w:szCs w:val="24"/>
      <w:lang w:val="en-US" w:eastAsia="zh-CN" w:bidi="ar-SA"/>
    </w:rPr>
  </w:style>
  <w:style w:type="paragraph" w:customStyle="1" w:styleId="130">
    <w:name w:val="主要符号表"/>
    <w:basedOn w:val="1"/>
    <w:qFormat/>
    <w:uiPriority w:val="19"/>
    <w:pPr>
      <w:tabs>
        <w:tab w:val="left" w:pos="1920"/>
      </w:tabs>
      <w:ind w:left="800" w:hanging="800" w:hangingChars="800"/>
    </w:pPr>
  </w:style>
  <w:style w:type="character" w:customStyle="1" w:styleId="131">
    <w:name w:val="TOC 5 字符"/>
    <w:link w:val="15"/>
    <w:qFormat/>
    <w:uiPriority w:val="39"/>
  </w:style>
  <w:style w:type="paragraph" w:customStyle="1" w:styleId="132">
    <w:name w:val="图片索引"/>
    <w:basedOn w:val="1"/>
    <w:link w:val="139"/>
    <w:qFormat/>
    <w:uiPriority w:val="0"/>
    <w:pPr>
      <w:spacing w:line="240" w:lineRule="auto"/>
      <w:ind w:firstLine="0" w:firstLineChars="0"/>
      <w:jc w:val="center"/>
    </w:pPr>
  </w:style>
  <w:style w:type="paragraph" w:customStyle="1" w:styleId="133">
    <w:name w:val="标题1"/>
    <w:basedOn w:val="25"/>
    <w:qFormat/>
    <w:uiPriority w:val="0"/>
    <w:pPr>
      <w:adjustRightInd w:val="0"/>
      <w:spacing w:after="360" w:line="420" w:lineRule="exact"/>
      <w:textAlignment w:val="baseline"/>
      <w:outlineLvl w:val="9"/>
    </w:pPr>
    <w:rPr>
      <w:rFonts w:cs="Times New Roman"/>
      <w:kern w:val="0"/>
      <w:szCs w:val="20"/>
    </w:rPr>
  </w:style>
  <w:style w:type="paragraph" w:customStyle="1" w:styleId="134">
    <w:name w:val="段落"/>
    <w:basedOn w:val="1"/>
    <w:qFormat/>
    <w:uiPriority w:val="0"/>
    <w:pPr>
      <w:spacing w:before="100" w:line="420" w:lineRule="exact"/>
      <w:ind w:firstLine="480"/>
    </w:pPr>
  </w:style>
  <w:style w:type="paragraph" w:customStyle="1" w:styleId="135">
    <w:name w:val="标题2"/>
    <w:basedOn w:val="25"/>
    <w:qFormat/>
    <w:uiPriority w:val="0"/>
    <w:pPr>
      <w:keepNext w:val="0"/>
      <w:keepLines w:val="0"/>
      <w:pageBreakBefore w:val="0"/>
      <w:adjustRightInd w:val="0"/>
      <w:spacing w:before="240" w:after="360" w:line="420" w:lineRule="exact"/>
      <w:ind w:firstLine="0" w:firstLineChars="0"/>
      <w:textAlignment w:val="baseline"/>
      <w:outlineLvl w:val="9"/>
    </w:pPr>
    <w:rPr>
      <w:rFonts w:ascii="Arial" w:hAnsi="Arial" w:eastAsia="宋体" w:cs="Times New Roman"/>
      <w:kern w:val="0"/>
      <w:szCs w:val="30"/>
    </w:rPr>
  </w:style>
  <w:style w:type="character" w:customStyle="1" w:styleId="136">
    <w:name w:val="页眉 字符"/>
    <w:basedOn w:val="36"/>
    <w:link w:val="21"/>
    <w:qFormat/>
    <w:uiPriority w:val="99"/>
    <w:rPr>
      <w:sz w:val="18"/>
    </w:rPr>
  </w:style>
  <w:style w:type="character" w:customStyle="1" w:styleId="137">
    <w:name w:val="标题 1 Char"/>
    <w:link w:val="2"/>
    <w:qFormat/>
    <w:uiPriority w:val="0"/>
    <w:rPr>
      <w:rFonts w:ascii="Arial" w:eastAsia="黑体"/>
      <w:kern w:val="2"/>
      <w:sz w:val="52"/>
    </w:rPr>
  </w:style>
  <w:style w:type="character" w:customStyle="1" w:styleId="138">
    <w:name w:val="标题 2 Char"/>
    <w:link w:val="3"/>
    <w:qFormat/>
    <w:uiPriority w:val="0"/>
    <w:rPr>
      <w:rFonts w:ascii="黑体" w:hAnsi="黑体" w:eastAsia="黑体"/>
      <w:sz w:val="32"/>
      <w:szCs w:val="32"/>
    </w:rPr>
  </w:style>
  <w:style w:type="character" w:customStyle="1" w:styleId="139">
    <w:name w:val="图片索引 Char"/>
    <w:link w:val="13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2567</Words>
  <Characters>5013</Characters>
  <Lines>12</Lines>
  <Paragraphs>8</Paragraphs>
  <TotalTime>26</TotalTime>
  <ScaleCrop>false</ScaleCrop>
  <LinksUpToDate>false</LinksUpToDate>
  <CharactersWithSpaces>5445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2026-08-07T07:38:00Z</dcterms:created>
  <dc:creator>邵东一中_张锦程</dc:creator>
  <cp:lastModifiedBy>邵东一中_张锦程</cp:lastModifiedBy>
  <dcterms:modified xsi:type="dcterms:W3CDTF">2026-08-07T11:03:03Z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eyJoZGlkIjoiYjc4MDY5NTA1NDQyYTcxYmE5NDY3MmQ3ZWM0NjI3YjkiLCJ1c2VySWQiOiIzMDI2MzExNDgifQ==</vt:lpwstr>
  </property>
  <property fmtid="{D5CDD505-2E9C-101B-9397-08002B2CF9AE}" pid="3" name="KSOProductBuildVer">
    <vt:lpwstr>2052-12.1.0.23542</vt:lpwstr>
  </property>
  <property fmtid="{D5CDD505-2E9C-101B-9397-08002B2CF9AE}" pid="4" name="ICV">
    <vt:lpwstr>0DCF93498A4F477BA397AF20CFB89BE1_12</vt:lpwstr>
  </property>
</Properties>
</file>