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B247C">
      <w:pPr>
        <w:pStyle w:val="3"/>
        <w:bidi w:val="0"/>
      </w:pPr>
      <w:r>
        <w:rPr>
          <w:rFonts w:hint="eastAsia"/>
        </w:rPr>
        <w:t>硕士学位论文修改说明</w:t>
      </w:r>
    </w:p>
    <w:p w14:paraId="5F33BFF7">
      <w:pPr>
        <w:pStyle w:val="45"/>
        <w:keepNext w:val="0"/>
        <w:keepLines w:val="0"/>
        <w:pageBreakBefore w:val="0"/>
        <w:widowControl/>
        <w:kinsoku/>
        <w:wordWrap/>
        <w:overflowPunct/>
        <w:topLinePunct w:val="0"/>
        <w:autoSpaceDE/>
        <w:autoSpaceDN/>
        <w:bidi w:val="0"/>
        <w:snapToGrid/>
        <w:spacing w:line="240" w:lineRule="auto"/>
        <w:jc w:val="left"/>
      </w:pPr>
      <w:r>
        <w:rPr>
          <w:rFonts w:hint="eastAsia"/>
        </w:rPr>
        <w:t>论文题目：</w:t>
      </w:r>
    </w:p>
    <w:p w14:paraId="77B0B2A9">
      <w:pPr>
        <w:pStyle w:val="45"/>
        <w:keepNext w:val="0"/>
        <w:keepLines w:val="0"/>
        <w:pageBreakBefore w:val="0"/>
        <w:widowControl/>
        <w:kinsoku/>
        <w:wordWrap/>
        <w:overflowPunct/>
        <w:topLinePunct w:val="0"/>
        <w:autoSpaceDE/>
        <w:autoSpaceDN/>
        <w:bidi w:val="0"/>
        <w:snapToGrid/>
        <w:spacing w:line="240" w:lineRule="auto"/>
        <w:jc w:val="left"/>
      </w:pPr>
      <w:r>
        <w:rPr>
          <w:rFonts w:hint="eastAsia"/>
        </w:rPr>
        <w:t>作者：　　　　学号：　　　　指导教师：</w:t>
      </w:r>
    </w:p>
    <w:p w14:paraId="5A3DE575">
      <w:pPr>
        <w:pStyle w:val="45"/>
        <w:keepNext w:val="0"/>
        <w:keepLines w:val="0"/>
        <w:pageBreakBefore w:val="0"/>
        <w:widowControl/>
        <w:kinsoku/>
        <w:wordWrap/>
        <w:overflowPunct/>
        <w:topLinePunct w:val="0"/>
        <w:autoSpaceDE/>
        <w:autoSpaceDN/>
        <w:bidi w:val="0"/>
        <w:snapToGrid/>
        <w:spacing w:line="240" w:lineRule="auto"/>
        <w:jc w:val="left"/>
      </w:pPr>
      <w:r>
        <w:rPr>
          <w:rFonts w:hint="eastAsia"/>
        </w:rPr>
        <w:t>日期：</w:t>
      </w:r>
      <w:r>
        <w:t>2026</w:t>
      </w:r>
      <w:r>
        <w:rPr>
          <w:rFonts w:hint="eastAsia"/>
        </w:rPr>
        <w:t>年</w:t>
      </w:r>
      <w:r>
        <w:t>8</w:t>
      </w:r>
      <w:r>
        <w:rPr>
          <w:rFonts w:hint="eastAsia"/>
        </w:rPr>
        <w:t>月</w:t>
      </w:r>
      <w:r>
        <w:t>7</w:t>
      </w:r>
      <w:r>
        <w:rPr>
          <w:rFonts w:hint="eastAsia"/>
        </w:rPr>
        <w:t>日</w:t>
      </w:r>
    </w:p>
    <w:p w14:paraId="4F938D9C">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感谢评阅专家的意见。现将修改情况逐条说明如下，涉及的修改均已落实到论文第</w:t>
      </w:r>
      <w:r>
        <w:t>3</w:t>
      </w:r>
      <w:r>
        <w:rPr>
          <w:rFonts w:hint="eastAsia"/>
        </w:rPr>
        <w:t>章正文与参考文献表。</w:t>
      </w:r>
    </w:p>
    <w:p w14:paraId="2C733986">
      <w:pPr>
        <w:pStyle w:val="5"/>
        <w:bidi w:val="0"/>
      </w:pPr>
      <w:r>
        <w:rPr>
          <w:rFonts w:hint="eastAsia"/>
        </w:rPr>
        <w:t>意见一：</w:t>
      </w:r>
      <w:r>
        <w:t>3.3</w:t>
      </w:r>
      <w:r>
        <w:rPr>
          <w:rFonts w:hint="eastAsia"/>
        </w:rPr>
        <w:t>节的表格只列出三个实例的测试结果，未与参考文献比较，建议用表格形式进行比较</w:t>
      </w:r>
    </w:p>
    <w:p w14:paraId="2BE1B61F">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修改说明。原稿把与同类工作的比较写在正文里，表格只承载本文自身的结果，确实不便对照。现已在</w:t>
      </w:r>
      <w:r>
        <w:t>3.3</w:t>
      </w:r>
      <w:r>
        <w:rPr>
          <w:rFonts w:hint="eastAsia"/>
        </w:rPr>
        <w:t>节的三个基准处各增一张对照表，把原来的文字比较改为表格，正文只保留判断。三张表分别是：</w:t>
      </w:r>
      <w:r>
        <w:t>3.3.1</w:t>
      </w:r>
      <w:r>
        <w:rPr>
          <w:rFonts w:hint="eastAsia"/>
        </w:rPr>
        <w:t>节表</w:t>
      </w:r>
      <w:r>
        <w:t>3.3</w:t>
      </w:r>
      <w:r>
        <w:rPr>
          <w:rFonts w:hint="eastAsia"/>
        </w:rPr>
        <w:t>，三个</w:t>
      </w:r>
      <w:r>
        <w:t>G-set</w:t>
      </w:r>
      <w:r>
        <w:rPr>
          <w:rFonts w:hint="eastAsia"/>
        </w:rPr>
        <w:t>实例与已发表求解器的对照；</w:t>
      </w:r>
      <w:r>
        <w:t>3.3.2</w:t>
      </w:r>
      <w:r>
        <w:rPr>
          <w:rFonts w:hint="eastAsia"/>
        </w:rPr>
        <w:t>节表</w:t>
      </w:r>
      <w:r>
        <w:t>3.6</w:t>
      </w:r>
      <w:r>
        <w:rPr>
          <w:rFonts w:hint="eastAsia"/>
        </w:rPr>
        <w:t>，整数分解与两项已发表工作的编码规模对照；</w:t>
      </w:r>
      <w:r>
        <w:t>3.3.3</w:t>
      </w:r>
      <w:r>
        <w:rPr>
          <w:rFonts w:hint="eastAsia"/>
        </w:rPr>
        <w:t>节表</w:t>
      </w:r>
      <w:r>
        <w:t>3.9</w:t>
      </w:r>
      <w:r>
        <w:rPr>
          <w:rFonts w:hint="eastAsia"/>
        </w:rPr>
        <w:t>，三个</w:t>
      </w:r>
      <w:r>
        <w:t>TSPLIB</w:t>
      </w:r>
      <w:r>
        <w:rPr>
          <w:rFonts w:hint="eastAsia"/>
        </w:rPr>
        <w:t>实例与</w:t>
      </w:r>
      <w:r>
        <w:t>D-Wave</w:t>
      </w:r>
      <w:r>
        <w:rPr>
          <w:rFonts w:hint="eastAsia"/>
        </w:rPr>
        <w:t>两种混合求解器的对照。新增表格使原表</w:t>
      </w:r>
      <w:r>
        <w:t>3.3</w:t>
      </w:r>
      <w:r>
        <w:rPr>
          <w:rFonts w:hint="eastAsia"/>
        </w:rPr>
        <w:t>至表</w:t>
      </w:r>
      <w:r>
        <w:t>3.9</w:t>
      </w:r>
      <w:r>
        <w:rPr>
          <w:rFonts w:hint="eastAsia"/>
        </w:rPr>
        <w:t>顺延为表</w:t>
      </w:r>
      <w:r>
        <w:t>3.4</w:t>
      </w:r>
      <w:r>
        <w:rPr>
          <w:rFonts w:hint="eastAsia"/>
        </w:rPr>
        <w:t>至表</w:t>
      </w:r>
      <w:r>
        <w:t>3.12</w:t>
      </w:r>
      <w:r>
        <w:rPr>
          <w:rFonts w:hint="eastAsia"/>
        </w:rPr>
        <w:t>，正文中的相应引用已同步更新。</w:t>
      </w:r>
    </w:p>
    <w:p w14:paraId="7BE98CF0">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对照表新增了原稿没有的文献数据点。表</w:t>
      </w:r>
      <w:r>
        <w:t>3.3</w:t>
      </w:r>
      <w:r>
        <w:rPr>
          <w:rFonts w:hint="eastAsia"/>
        </w:rPr>
        <w:t>增列</w:t>
      </w:r>
      <w:r>
        <w:t>Onizawa</w:t>
      </w:r>
      <w:r>
        <w:rPr>
          <w:rFonts w:hint="eastAsia"/>
        </w:rPr>
        <w:t>和</w:t>
      </w:r>
      <w:r>
        <w:t>Hanyu</w:t>
      </w:r>
      <w:r>
        <w:rPr>
          <w:rFonts w:hint="eastAsia"/>
        </w:rPr>
        <w:t>的</w:t>
      </w:r>
      <w:r>
        <w:t>p-bit</w:t>
      </w:r>
      <w:r>
        <w:rPr>
          <w:rFonts w:hint="eastAsia"/>
        </w:rPr>
        <w:t>模拟退火</w:t>
      </w:r>
      <w:r>
        <w:t xml:space="preserve"> (pSA</w:t>
      </w:r>
      <w:r>
        <w:rPr>
          <w:rFonts w:hint="eastAsia"/>
        </w:rPr>
        <w:t>与该文报告的时间平均变体</w:t>
      </w:r>
      <w:r>
        <w:t xml:space="preserve">TApSA) </w:t>
      </w:r>
      <w:r>
        <w:rPr>
          <w:rFonts w:hint="eastAsia"/>
        </w:rPr>
        <w:t>在三个实例上的切分均值，以及</w:t>
      </w:r>
      <w:r>
        <w:t>Goto</w:t>
      </w:r>
      <w:r>
        <w:rPr>
          <w:rFonts w:hint="eastAsia"/>
        </w:rPr>
        <w:t>等的模拟分岔机在</w:t>
      </w:r>
      <w:r>
        <w:t>G22</w:t>
      </w:r>
      <w:r>
        <w:rPr>
          <w:rFonts w:hint="eastAsia"/>
        </w:rPr>
        <w:t>上的求解时间；表</w:t>
      </w:r>
      <w:r>
        <w:t>3.9</w:t>
      </w:r>
      <w:r>
        <w:rPr>
          <w:rFonts w:hint="eastAsia"/>
        </w:rPr>
        <w:t>增列</w:t>
      </w:r>
      <w:r>
        <w:t>D-Wave</w:t>
      </w:r>
      <w:r>
        <w:rPr>
          <w:rFonts w:hint="eastAsia"/>
        </w:rPr>
        <w:t>的</w:t>
      </w:r>
      <w:r>
        <w:t>Kerberos</w:t>
      </w:r>
      <w:r>
        <w:rPr>
          <w:rFonts w:hint="eastAsia"/>
        </w:rPr>
        <w:t>与</w:t>
      </w:r>
      <w:r>
        <w:t>LeapHybridSampler</w:t>
      </w:r>
      <w:r>
        <w:rPr>
          <w:rFonts w:hint="eastAsia"/>
        </w:rPr>
        <w:t>在三个</w:t>
      </w:r>
      <w:r>
        <w:t>TSPLIB</w:t>
      </w:r>
      <w:r>
        <w:rPr>
          <w:rFonts w:hint="eastAsia"/>
        </w:rPr>
        <w:t>实例上的巡回路径长度与相对偏差，覆盖</w:t>
      </w:r>
      <w:r>
        <w:t>burma14</w:t>
      </w:r>
      <w:r>
        <w:rPr>
          <w:rFonts w:hint="eastAsia"/>
        </w:rPr>
        <w:t>、</w:t>
      </w:r>
      <w:r>
        <w:t>ulysses16</w:t>
      </w:r>
      <w:r>
        <w:rPr>
          <w:rFonts w:hint="eastAsia"/>
        </w:rPr>
        <w:t>与</w:t>
      </w:r>
      <w:r>
        <w:t>gr17</w:t>
      </w:r>
      <w:r>
        <w:rPr>
          <w:rFonts w:hint="eastAsia"/>
        </w:rPr>
        <w:t>全部三例，而原稿只在正文提到</w:t>
      </w:r>
      <w:r>
        <w:t>ulysses16</w:t>
      </w:r>
      <w:r>
        <w:rPr>
          <w:rFonts w:hint="eastAsia"/>
        </w:rPr>
        <w:t>一例；表</w:t>
      </w:r>
      <w:r>
        <w:t>3.6</w:t>
      </w:r>
      <w:r>
        <w:rPr>
          <w:rFonts w:hint="eastAsia"/>
        </w:rPr>
        <w:t>为新增，把本文的编码规模与</w:t>
      </w:r>
      <w:r>
        <w:t>Borders</w:t>
      </w:r>
      <w:r>
        <w:rPr>
          <w:rFonts w:hint="eastAsia"/>
        </w:rPr>
        <w:t>等的</w:t>
      </w:r>
      <w:r>
        <w:t>sMTJ p-bit</w:t>
      </w:r>
      <w:r>
        <w:rPr>
          <w:rFonts w:hint="eastAsia"/>
        </w:rPr>
        <w:t>硬件分解、</w:t>
      </w:r>
      <w:r>
        <w:t>Jiang</w:t>
      </w:r>
      <w:r>
        <w:rPr>
          <w:rFonts w:hint="eastAsia"/>
        </w:rPr>
        <w:t>等在</w:t>
      </w:r>
      <w:r>
        <w:t>D-Wave 2000Q</w:t>
      </w:r>
      <w:r>
        <w:rPr>
          <w:rFonts w:hint="eastAsia"/>
        </w:rPr>
        <w:t>上的分解并列。</w:t>
      </w:r>
    </w:p>
    <w:p w14:paraId="2E0030FB">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每张表都列出平台与统计口径，并在表注中写明不可直接排名的原因。这些工作的处理器、停止判据与统计量互不相同：本文与</w:t>
      </w:r>
      <w:r>
        <w:t>Benlic</w:t>
      </w:r>
      <w:r>
        <w:rPr>
          <w:rFonts w:hint="eastAsia"/>
        </w:rPr>
        <w:t>和</w:t>
      </w:r>
      <w:r>
        <w:t>Hao</w:t>
      </w:r>
      <w:r>
        <w:rPr>
          <w:rFonts w:hint="eastAsia"/>
        </w:rPr>
        <w:t>的</w:t>
      </w:r>
      <w:r>
        <w:t>BLS</w:t>
      </w:r>
      <w:r>
        <w:rPr>
          <w:rFonts w:hint="eastAsia"/>
        </w:rPr>
        <w:t>报告的是命中最优所需时间，前者为</w:t>
      </w:r>
      <w:r>
        <w:t>200</w:t>
      </w:r>
      <w:r>
        <w:rPr>
          <w:rFonts w:hint="eastAsia"/>
        </w:rPr>
        <w:t>次试验导出的</w:t>
      </w:r>
      <w:r>
        <w:t>99%</w:t>
      </w:r>
      <w:r>
        <w:rPr>
          <w:rFonts w:hint="eastAsia"/>
        </w:rPr>
        <w:t>置信求解时间，后者为</w:t>
      </w:r>
      <w:r>
        <w:t>20</w:t>
      </w:r>
      <w:r>
        <w:rPr>
          <w:rFonts w:hint="eastAsia"/>
        </w:rPr>
        <w:t>次运行达到最好解的平均用时；</w:t>
      </w:r>
      <w:r>
        <w:t>Onizawa</w:t>
      </w:r>
      <w:r>
        <w:rPr>
          <w:rFonts w:hint="eastAsia"/>
        </w:rPr>
        <w:t>和</w:t>
      </w:r>
      <w:r>
        <w:t>Hanyu</w:t>
      </w:r>
      <w:r>
        <w:rPr>
          <w:rFonts w:hint="eastAsia"/>
        </w:rPr>
        <w:t>报告的是</w:t>
      </w:r>
      <w:r>
        <w:t>100</w:t>
      </w:r>
      <w:r>
        <w:rPr>
          <w:rFonts w:hint="eastAsia"/>
        </w:rPr>
        <w:t>次试验的切分均值而非命中率；</w:t>
      </w:r>
      <w:r>
        <w:t>Goto</w:t>
      </w:r>
      <w:r>
        <w:rPr>
          <w:rFonts w:hint="eastAsia"/>
        </w:rPr>
        <w:t>等的求解时间由</w:t>
      </w:r>
      <w:r>
        <w:t>FPGA</w:t>
      </w:r>
      <w:r>
        <w:rPr>
          <w:rFonts w:hint="eastAsia"/>
        </w:rPr>
        <w:t>并行实现给出。表注逐条标注了这些差异，避免读者把跨论文的时间列读成速度排名。</w:t>
      </w:r>
    </w:p>
    <w:p w14:paraId="154AC005">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在整理对照表的过程中，核对文献原文发现原稿两处引用数值有误，一并更正。其一，原稿称</w:t>
      </w:r>
      <w:r>
        <w:t>BLS</w:t>
      </w:r>
      <w:r>
        <w:rPr>
          <w:rFonts w:hint="eastAsia"/>
        </w:rPr>
        <w:t>在</w:t>
      </w:r>
      <w:r>
        <w:t>G1</w:t>
      </w:r>
      <w:r>
        <w:rPr>
          <w:rFonts w:hint="eastAsia"/>
        </w:rPr>
        <w:t>上约</w:t>
      </w:r>
      <w:r>
        <w:t>2</w:t>
      </w:r>
      <w:r>
        <w:rPr>
          <w:rFonts w:hint="eastAsia"/>
        </w:rPr>
        <w:t>至</w:t>
      </w:r>
      <w:r>
        <w:t>3</w:t>
      </w:r>
      <w:r>
        <w:rPr>
          <w:rFonts w:hint="eastAsia"/>
        </w:rPr>
        <w:t>秒达到最好解，核对该文表</w:t>
      </w:r>
      <w:r>
        <w:t>2</w:t>
      </w:r>
      <w:r>
        <w:rPr>
          <w:rFonts w:hint="eastAsia"/>
        </w:rPr>
        <w:t>，</w:t>
      </w:r>
      <w:r>
        <w:t>G1</w:t>
      </w:r>
      <w:r>
        <w:rPr>
          <w:rFonts w:hint="eastAsia"/>
        </w:rPr>
        <w:t>的平均用时为</w:t>
      </w:r>
      <w:r>
        <w:t>13</w:t>
      </w:r>
      <w:r>
        <w:rPr>
          <w:rFonts w:hint="eastAsia"/>
        </w:rPr>
        <w:t>秒，</w:t>
      </w:r>
      <w:r>
        <w:t>2</w:t>
      </w:r>
      <w:r>
        <w:rPr>
          <w:rFonts w:hint="eastAsia"/>
        </w:rPr>
        <w:t>至</w:t>
      </w:r>
      <w:r>
        <w:t>3</w:t>
      </w:r>
      <w:r>
        <w:rPr>
          <w:rFonts w:hint="eastAsia"/>
        </w:rPr>
        <w:t>秒对应的是同表中</w:t>
      </w:r>
      <w:r>
        <w:t>G11</w:t>
      </w:r>
      <w:r>
        <w:rPr>
          <w:rFonts w:hint="eastAsia"/>
        </w:rPr>
        <w:t>至</w:t>
      </w:r>
      <w:r>
        <w:t>G13</w:t>
      </w:r>
      <w:r>
        <w:rPr>
          <w:rFonts w:hint="eastAsia"/>
        </w:rPr>
        <w:t>三个实例。其二，原稿称</w:t>
      </w:r>
      <w:r>
        <w:t>pSA</w:t>
      </w:r>
      <w:r>
        <w:rPr>
          <w:rFonts w:hint="eastAsia"/>
        </w:rPr>
        <w:t>在</w:t>
      </w:r>
      <w:r>
        <w:t>G1</w:t>
      </w:r>
      <w:r>
        <w:rPr>
          <w:rFonts w:hint="eastAsia"/>
        </w:rPr>
        <w:t>上的归一化切分均值为</w:t>
      </w:r>
      <w:r>
        <w:t>0.996</w:t>
      </w:r>
      <w:r>
        <w:rPr>
          <w:rFonts w:hint="eastAsia"/>
        </w:rPr>
        <w:t>至</w:t>
      </w:r>
      <w:r>
        <w:t>0.998</w:t>
      </w:r>
      <w:r>
        <w:rPr>
          <w:rFonts w:hint="eastAsia"/>
        </w:rPr>
        <w:t>、其改进型达到</w:t>
      </w:r>
      <w:r>
        <w:t>0.999</w:t>
      </w:r>
      <w:r>
        <w:rPr>
          <w:rFonts w:hint="eastAsia"/>
        </w:rPr>
        <w:t>以上，核对该文表</w:t>
      </w:r>
      <w:r>
        <w:t>5</w:t>
      </w:r>
      <w:r>
        <w:rPr>
          <w:rFonts w:hint="eastAsia"/>
        </w:rPr>
        <w:t>与表</w:t>
      </w:r>
      <w:r>
        <w:t>6</w:t>
      </w:r>
      <w:r>
        <w:rPr>
          <w:rFonts w:hint="eastAsia"/>
        </w:rPr>
        <w:t>，</w:t>
      </w:r>
      <w:r>
        <w:t>pSA</w:t>
      </w:r>
      <w:r>
        <w:rPr>
          <w:rFonts w:hint="eastAsia"/>
        </w:rPr>
        <w:t>在</w:t>
      </w:r>
      <w:r>
        <w:t>G1</w:t>
      </w:r>
      <w:r>
        <w:rPr>
          <w:rFonts w:hint="eastAsia"/>
        </w:rPr>
        <w:t>、</w:t>
      </w:r>
      <w:r>
        <w:t>G14</w:t>
      </w:r>
      <w:r>
        <w:rPr>
          <w:rFonts w:hint="eastAsia"/>
        </w:rPr>
        <w:t>、</w:t>
      </w:r>
      <w:r>
        <w:t>G22</w:t>
      </w:r>
      <w:r>
        <w:rPr>
          <w:rFonts w:hint="eastAsia"/>
        </w:rPr>
        <w:t>三个全正权实例上的切分均值均为零，其改进型</w:t>
      </w:r>
      <w:r>
        <w:t>TApSA</w:t>
      </w:r>
      <w:r>
        <w:rPr>
          <w:rFonts w:hint="eastAsia"/>
        </w:rPr>
        <w:t>的归一化切分为</w:t>
      </w:r>
      <w:r>
        <w:t>0.996</w:t>
      </w:r>
      <w:r>
        <w:rPr>
          <w:rFonts w:hint="eastAsia"/>
        </w:rPr>
        <w:t>、</w:t>
      </w:r>
      <w:r>
        <w:t>0.991</w:t>
      </w:r>
      <w:r>
        <w:rPr>
          <w:rFonts w:hint="eastAsia"/>
        </w:rPr>
        <w:t>与</w:t>
      </w:r>
      <w:r>
        <w:t>0.994</w:t>
      </w:r>
      <w:r>
        <w:rPr>
          <w:rFonts w:hint="eastAsia"/>
        </w:rPr>
        <w:t>，全文没有</w:t>
      </w:r>
      <w:r>
        <w:t>0.999</w:t>
      </w:r>
      <w:r>
        <w:rPr>
          <w:rFonts w:hint="eastAsia"/>
        </w:rPr>
        <w:t>以上的取值。该文的论点正是常规</w:t>
      </w:r>
      <w:r>
        <w:t>pSA</w:t>
      </w:r>
      <w:r>
        <w:rPr>
          <w:rFonts w:hint="eastAsia"/>
        </w:rPr>
        <w:t>在全并行更新下因振荡而失效、需要补救措施，原稿的表述与其论点相反。更正后的表述已写入表</w:t>
      </w:r>
      <w:r>
        <w:t>3.3</w:t>
      </w:r>
      <w:r>
        <w:rPr>
          <w:rFonts w:hint="eastAsia"/>
        </w:rPr>
        <w:t>与相应正文，并说明本文采用严格异步更新、未出现该失效模式。</w:t>
      </w:r>
    </w:p>
    <w:p w14:paraId="4224EC36">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核对基准实例文件时另发现一处描述性错误：原稿把</w:t>
      </w:r>
      <w:r>
        <w:t>G14</w:t>
      </w:r>
      <w:r>
        <w:rPr>
          <w:rFonts w:hint="eastAsia"/>
        </w:rPr>
        <w:t>称为稀疏符号混合图，而</w:t>
      </w:r>
      <w:r>
        <w:t>G-set</w:t>
      </w:r>
      <w:r>
        <w:rPr>
          <w:rFonts w:hint="eastAsia"/>
        </w:rPr>
        <w:t>公布的</w:t>
      </w:r>
      <w:r>
        <w:t>G14</w:t>
      </w:r>
      <w:r>
        <w:rPr>
          <w:rFonts w:hint="eastAsia"/>
        </w:rPr>
        <w:t>全部</w:t>
      </w:r>
      <w:r>
        <w:t>4694</w:t>
      </w:r>
      <w:r>
        <w:rPr>
          <w:rFonts w:hint="eastAsia"/>
        </w:rPr>
        <w:t>条边权值均为</w:t>
      </w:r>
      <w:r>
        <w:t>+1</w:t>
      </w:r>
      <w:bookmarkStart w:id="0" w:name="_GoBack"/>
      <w:bookmarkEnd w:id="0"/>
      <w:r>
        <w:rPr>
          <w:rFonts w:hint="eastAsia"/>
        </w:rPr>
        <w:t>，符号混合的是同一拓扑族的</w:t>
      </w:r>
      <w:r>
        <w:t>G18</w:t>
      </w:r>
      <w:r>
        <w:rPr>
          <w:rFonts w:hint="eastAsia"/>
        </w:rPr>
        <w:t>至</w:t>
      </w:r>
      <w:r>
        <w:t>G21</w:t>
      </w:r>
      <w:r>
        <w:rPr>
          <w:rFonts w:hint="eastAsia"/>
        </w:rPr>
        <w:t>。已将</w:t>
      </w:r>
      <w:r>
        <w:t>G14</w:t>
      </w:r>
      <w:r>
        <w:rPr>
          <w:rFonts w:hint="eastAsia"/>
        </w:rPr>
        <w:t>的描述改为稀疏正权图，其浅局部极小的成因相应改由稀疏低度结构</w:t>
      </w:r>
      <w:r>
        <w:t xml:space="preserve"> (</w:t>
      </w:r>
      <w:r>
        <w:rPr>
          <w:rFonts w:hint="eastAsia"/>
        </w:rPr>
        <w:t>平均度</w:t>
      </w:r>
      <w:r>
        <w:t>11.7</w:t>
      </w:r>
      <w:r>
        <w:rPr>
          <w:rFonts w:hint="eastAsia"/>
        </w:rPr>
        <w:t>，</w:t>
      </w:r>
      <w:r>
        <w:t>G1</w:t>
      </w:r>
      <w:r>
        <w:rPr>
          <w:rFonts w:hint="eastAsia"/>
        </w:rPr>
        <w:t>为</w:t>
      </w:r>
      <w:r>
        <w:t xml:space="preserve">47.9) </w:t>
      </w:r>
      <w:r>
        <w:rPr>
          <w:rFonts w:hint="eastAsia"/>
        </w:rPr>
        <w:t>说明，涉及</w:t>
      </w:r>
      <w:r>
        <w:t>3.3.1</w:t>
      </w:r>
      <w:r>
        <w:rPr>
          <w:rFonts w:hint="eastAsia"/>
        </w:rPr>
        <w:t>、</w:t>
      </w:r>
      <w:r>
        <w:t>3.3.3</w:t>
      </w:r>
      <w:r>
        <w:rPr>
          <w:rFonts w:hint="eastAsia"/>
        </w:rPr>
        <w:t>与</w:t>
      </w:r>
      <w:r>
        <w:t>3.5.2</w:t>
      </w:r>
      <w:r>
        <w:rPr>
          <w:rFonts w:hint="eastAsia"/>
        </w:rPr>
        <w:t>各节的相关表述。</w:t>
      </w:r>
    </w:p>
    <w:p w14:paraId="21C4A7A9">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修改位置。第</w:t>
      </w:r>
      <w:r>
        <w:t>3</w:t>
      </w:r>
      <w:r>
        <w:rPr>
          <w:rFonts w:hint="eastAsia"/>
        </w:rPr>
        <w:t>章</w:t>
      </w:r>
      <w:r>
        <w:t>3.3.1</w:t>
      </w:r>
      <w:r>
        <w:rPr>
          <w:rFonts w:hint="eastAsia"/>
        </w:rPr>
        <w:t>节</w:t>
      </w:r>
      <w:r>
        <w:t xml:space="preserve"> (</w:t>
      </w:r>
      <w:r>
        <w:rPr>
          <w:rFonts w:hint="eastAsia"/>
        </w:rPr>
        <w:t>表</w:t>
      </w:r>
      <w:r>
        <w:t>3.3</w:t>
      </w:r>
      <w:r>
        <w:rPr>
          <w:rFonts w:hint="eastAsia"/>
        </w:rPr>
        <w:t>及其前后正文</w:t>
      </w:r>
      <w:r>
        <w:t>)</w:t>
      </w:r>
      <w:r>
        <w:rPr>
          <w:rFonts w:hint="eastAsia"/>
        </w:rPr>
        <w:t>、</w:t>
      </w:r>
      <w:r>
        <w:t>3.3.2</w:t>
      </w:r>
      <w:r>
        <w:rPr>
          <w:rFonts w:hint="eastAsia"/>
        </w:rPr>
        <w:t>节</w:t>
      </w:r>
      <w:r>
        <w:t xml:space="preserve"> (</w:t>
      </w:r>
      <w:r>
        <w:rPr>
          <w:rFonts w:hint="eastAsia"/>
        </w:rPr>
        <w:t>表</w:t>
      </w:r>
      <w:r>
        <w:t>3.6</w:t>
      </w:r>
      <w:r>
        <w:rPr>
          <w:rFonts w:hint="eastAsia"/>
        </w:rPr>
        <w:t>及其前后正文</w:t>
      </w:r>
      <w:r>
        <w:t>)</w:t>
      </w:r>
      <w:r>
        <w:rPr>
          <w:rFonts w:hint="eastAsia"/>
        </w:rPr>
        <w:t>、</w:t>
      </w:r>
      <w:r>
        <w:t>3.3.3</w:t>
      </w:r>
      <w:r>
        <w:rPr>
          <w:rFonts w:hint="eastAsia"/>
        </w:rPr>
        <w:t>节</w:t>
      </w:r>
      <w:r>
        <w:t xml:space="preserve"> (</w:t>
      </w:r>
      <w:r>
        <w:rPr>
          <w:rFonts w:hint="eastAsia"/>
        </w:rPr>
        <w:t>表</w:t>
      </w:r>
      <w:r>
        <w:t>3.9</w:t>
      </w:r>
      <w:r>
        <w:rPr>
          <w:rFonts w:hint="eastAsia"/>
        </w:rPr>
        <w:t>及其前后正文</w:t>
      </w:r>
      <w:r>
        <w:t>)</w:t>
      </w:r>
      <w:r>
        <w:rPr>
          <w:rFonts w:hint="eastAsia"/>
        </w:rPr>
        <w:t>；表</w:t>
      </w:r>
      <w:r>
        <w:t>3.4</w:t>
      </w:r>
      <w:r>
        <w:rPr>
          <w:rFonts w:hint="eastAsia"/>
        </w:rPr>
        <w:t>至表</w:t>
      </w:r>
      <w:r>
        <w:t>3.12</w:t>
      </w:r>
      <w:r>
        <w:rPr>
          <w:rFonts w:hint="eastAsia"/>
        </w:rPr>
        <w:t>的编号与正文引用同步更新。</w:t>
      </w:r>
    </w:p>
    <w:p w14:paraId="1E8439C5">
      <w:pPr>
        <w:pStyle w:val="5"/>
        <w:bidi w:val="0"/>
      </w:pPr>
      <w:r>
        <w:rPr>
          <w:rFonts w:hint="eastAsia"/>
        </w:rPr>
        <w:t>意见二：方法与参考文献的关系不清晰，正文未标注方法出处</w:t>
      </w:r>
    </w:p>
    <w:p w14:paraId="7E419C7C">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说明。原稿把该领域的公有方法当作常识使用，只在概念首次出现时给出综述性引文，未在每个方法组件的使用处标注原始出处。现已逐处补引，新增十条文献，每条都落在该方法实际被使用的位置，并在章末参考文献表按首次引用顺序登记，全部给出</w:t>
      </w:r>
      <w:r>
        <w:t>DOI</w:t>
      </w:r>
      <w:r>
        <w:rPr>
          <w:rFonts w:hint="eastAsia"/>
        </w:rPr>
        <w:t>。补引位置如下表。</w:t>
      </w:r>
    </w:p>
    <w:tbl>
      <w:tblPr>
        <w:tblStyle w:val="63"/>
        <w:tblW w:w="8856" w:type="dxa"/>
        <w:jc w:val="center"/>
        <w:tblLayout w:type="autofit"/>
        <w:tblCellMar>
          <w:top w:w="0" w:type="dxa"/>
          <w:left w:w="108" w:type="dxa"/>
          <w:bottom w:w="0" w:type="dxa"/>
          <w:right w:w="108" w:type="dxa"/>
        </w:tblCellMar>
      </w:tblPr>
      <w:tblGrid>
        <w:gridCol w:w="2500"/>
        <w:gridCol w:w="2500"/>
        <w:gridCol w:w="3856"/>
      </w:tblGrid>
      <w:tr w14:paraId="2FB7C06C">
        <w:tblPrEx>
          <w:tblCellMar>
            <w:top w:w="0" w:type="dxa"/>
            <w:left w:w="108" w:type="dxa"/>
            <w:bottom w:w="0" w:type="dxa"/>
            <w:right w:w="108" w:type="dxa"/>
          </w:tblCellMar>
        </w:tblPrEx>
        <w:trPr>
          <w:trHeight w:val="0" w:hRule="atLeast"/>
          <w:tblHeader/>
          <w:jc w:val="center"/>
        </w:trPr>
        <w:tc>
          <w:tcPr>
            <w:tcW w:w="2500" w:type="dxa"/>
            <w:tcBorders>
              <w:top w:val="single" w:color="auto" w:sz="12" w:space="0"/>
              <w:left w:val="nil"/>
              <w:bottom w:val="single" w:color="auto" w:sz="4" w:space="0"/>
              <w:right w:val="nil"/>
            </w:tcBorders>
            <w:vAlign w:val="center"/>
          </w:tcPr>
          <w:p w14:paraId="694A5EFF">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center"/>
              <w:rPr>
                <w:b/>
              </w:rPr>
            </w:pPr>
            <w:r>
              <w:rPr>
                <w:rFonts w:hint="eastAsia"/>
                <w:b/>
              </w:rPr>
              <w:t>方法组件</w:t>
            </w:r>
          </w:p>
        </w:tc>
        <w:tc>
          <w:tcPr>
            <w:tcW w:w="2500" w:type="dxa"/>
            <w:tcBorders>
              <w:top w:val="single" w:color="auto" w:sz="12" w:space="0"/>
              <w:left w:val="nil"/>
              <w:bottom w:val="single" w:color="auto" w:sz="4" w:space="0"/>
              <w:right w:val="nil"/>
            </w:tcBorders>
            <w:vAlign w:val="center"/>
          </w:tcPr>
          <w:p w14:paraId="43AB1D35">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center"/>
              <w:rPr>
                <w:b/>
              </w:rPr>
            </w:pPr>
            <w:r>
              <w:rPr>
                <w:rFonts w:hint="eastAsia"/>
                <w:b/>
              </w:rPr>
              <w:t>补引位置</w:t>
            </w:r>
          </w:p>
        </w:tc>
        <w:tc>
          <w:tcPr>
            <w:tcW w:w="3856" w:type="dxa"/>
            <w:tcBorders>
              <w:top w:val="single" w:color="auto" w:sz="12" w:space="0"/>
              <w:left w:val="nil"/>
              <w:bottom w:val="single" w:color="auto" w:sz="4" w:space="0"/>
              <w:right w:val="nil"/>
            </w:tcBorders>
            <w:vAlign w:val="center"/>
          </w:tcPr>
          <w:p w14:paraId="027D44BA">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center"/>
              <w:rPr>
                <w:b/>
              </w:rPr>
            </w:pPr>
            <w:r>
              <w:rPr>
                <w:rFonts w:hint="eastAsia"/>
                <w:b/>
              </w:rPr>
              <w:t>文献</w:t>
            </w:r>
          </w:p>
        </w:tc>
      </w:tr>
      <w:tr w14:paraId="78EE7EEA">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59976251">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Gibbs</w:t>
            </w:r>
            <w:r>
              <w:rPr>
                <w:rFonts w:hint="eastAsia"/>
              </w:rPr>
              <w:t>热浴单自旋动力学</w:t>
            </w:r>
          </w:p>
        </w:tc>
        <w:tc>
          <w:tcPr>
            <w:tcW w:w="2500" w:type="dxa"/>
            <w:tcBorders>
              <w:top w:val="nil"/>
              <w:left w:val="nil"/>
              <w:bottom w:val="nil"/>
              <w:right w:val="nil"/>
            </w:tcBorders>
            <w:vAlign w:val="center"/>
          </w:tcPr>
          <w:p w14:paraId="42233D18">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3.1.1</w:t>
            </w:r>
            <w:r>
              <w:rPr>
                <w:rFonts w:hint="eastAsia"/>
              </w:rPr>
              <w:t>节，条件概率采样式</w:t>
            </w:r>
          </w:p>
        </w:tc>
        <w:tc>
          <w:tcPr>
            <w:tcW w:w="3856" w:type="dxa"/>
            <w:tcBorders>
              <w:top w:val="nil"/>
              <w:left w:val="nil"/>
              <w:bottom w:val="nil"/>
              <w:right w:val="nil"/>
            </w:tcBorders>
            <w:vAlign w:val="center"/>
          </w:tcPr>
          <w:p w14:paraId="0DF04082">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Glauber 1963</w:t>
            </w:r>
            <w:r>
              <w:rPr>
                <w:rFonts w:hint="eastAsia"/>
              </w:rPr>
              <w:t>；</w:t>
            </w:r>
            <w:r>
              <w:t>Geman</w:t>
            </w:r>
            <w:r>
              <w:rPr>
                <w:rFonts w:hint="eastAsia"/>
              </w:rPr>
              <w:t>与</w:t>
            </w:r>
            <w:r>
              <w:t>Geman 1984</w:t>
            </w:r>
          </w:p>
        </w:tc>
      </w:tr>
      <w:tr w14:paraId="6960539D">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056275CB">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p-bit</w:t>
            </w:r>
            <w:r>
              <w:rPr>
                <w:rFonts w:hint="eastAsia"/>
              </w:rPr>
              <w:t>形式化</w:t>
            </w:r>
          </w:p>
        </w:tc>
        <w:tc>
          <w:tcPr>
            <w:tcW w:w="2500" w:type="dxa"/>
            <w:tcBorders>
              <w:top w:val="nil"/>
              <w:left w:val="nil"/>
              <w:bottom w:val="nil"/>
              <w:right w:val="nil"/>
            </w:tcBorders>
            <w:vAlign w:val="center"/>
          </w:tcPr>
          <w:p w14:paraId="46F6F6BC">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3.1.1</w:t>
            </w:r>
            <w:r>
              <w:rPr>
                <w:rFonts w:hint="eastAsia"/>
              </w:rPr>
              <w:t>节，</w:t>
            </w:r>
            <w:r>
              <w:t>sMTJ</w:t>
            </w:r>
            <w:r>
              <w:rPr>
                <w:rFonts w:hint="eastAsia"/>
              </w:rPr>
              <w:t>充当伊辛自旋处</w:t>
            </w:r>
          </w:p>
        </w:tc>
        <w:tc>
          <w:tcPr>
            <w:tcW w:w="3856" w:type="dxa"/>
            <w:tcBorders>
              <w:top w:val="nil"/>
              <w:left w:val="nil"/>
              <w:bottom w:val="nil"/>
              <w:right w:val="nil"/>
            </w:tcBorders>
            <w:vAlign w:val="center"/>
          </w:tcPr>
          <w:p w14:paraId="28EC1E15">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Camsari</w:t>
            </w:r>
            <w:r>
              <w:rPr>
                <w:rFonts w:hint="eastAsia"/>
              </w:rPr>
              <w:t>等</w:t>
            </w:r>
            <w:r>
              <w:t xml:space="preserve"> 2017</w:t>
            </w:r>
          </w:p>
        </w:tc>
      </w:tr>
      <w:tr w14:paraId="7DA5B307">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272CB5F4">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rPr>
                <w:rFonts w:hint="eastAsia"/>
              </w:rPr>
              <w:t>求解时间指标</w:t>
            </w:r>
            <w:r>
              <w:t>TTS_99</w:t>
            </w:r>
          </w:p>
        </w:tc>
        <w:tc>
          <w:tcPr>
            <w:tcW w:w="2500" w:type="dxa"/>
            <w:tcBorders>
              <w:top w:val="nil"/>
              <w:left w:val="nil"/>
              <w:bottom w:val="nil"/>
              <w:right w:val="nil"/>
            </w:tcBorders>
            <w:vAlign w:val="center"/>
          </w:tcPr>
          <w:p w14:paraId="4B6B84A6">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3.3</w:t>
            </w:r>
            <w:r>
              <w:rPr>
                <w:rFonts w:hint="eastAsia"/>
              </w:rPr>
              <w:t>节，评估指标定义式</w:t>
            </w:r>
          </w:p>
        </w:tc>
        <w:tc>
          <w:tcPr>
            <w:tcW w:w="3856" w:type="dxa"/>
            <w:tcBorders>
              <w:top w:val="nil"/>
              <w:left w:val="nil"/>
              <w:bottom w:val="nil"/>
              <w:right w:val="nil"/>
            </w:tcBorders>
            <w:vAlign w:val="center"/>
          </w:tcPr>
          <w:p w14:paraId="7A77CBEC">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Rønnow</w:t>
            </w:r>
            <w:r>
              <w:rPr>
                <w:rFonts w:hint="eastAsia"/>
              </w:rPr>
              <w:t>等</w:t>
            </w:r>
            <w:r>
              <w:t xml:space="preserve"> 2014</w:t>
            </w:r>
          </w:p>
        </w:tc>
      </w:tr>
      <w:tr w14:paraId="11667654">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2EBB3276">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Wilson</w:t>
            </w:r>
            <w:r>
              <w:rPr>
                <w:rFonts w:hint="eastAsia"/>
              </w:rPr>
              <w:t>置信区间</w:t>
            </w:r>
          </w:p>
        </w:tc>
        <w:tc>
          <w:tcPr>
            <w:tcW w:w="2500" w:type="dxa"/>
            <w:tcBorders>
              <w:top w:val="nil"/>
              <w:left w:val="nil"/>
              <w:bottom w:val="nil"/>
              <w:right w:val="nil"/>
            </w:tcBorders>
            <w:vAlign w:val="center"/>
          </w:tcPr>
          <w:p w14:paraId="10C97F1C">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3.3</w:t>
            </w:r>
            <w:r>
              <w:rPr>
                <w:rFonts w:hint="eastAsia"/>
              </w:rPr>
              <w:t>节，统计约定</w:t>
            </w:r>
          </w:p>
        </w:tc>
        <w:tc>
          <w:tcPr>
            <w:tcW w:w="3856" w:type="dxa"/>
            <w:tcBorders>
              <w:top w:val="nil"/>
              <w:left w:val="nil"/>
              <w:bottom w:val="nil"/>
              <w:right w:val="nil"/>
            </w:tcBorders>
            <w:vAlign w:val="center"/>
          </w:tcPr>
          <w:p w14:paraId="4A58AB34">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Wilson 1927</w:t>
            </w:r>
          </w:p>
        </w:tc>
      </w:tr>
      <w:tr w14:paraId="23E38E6B">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27DF6E65">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Metropolis</w:t>
            </w:r>
            <w:r>
              <w:rPr>
                <w:rFonts w:hint="eastAsia"/>
              </w:rPr>
              <w:t>接受准则</w:t>
            </w:r>
          </w:p>
        </w:tc>
        <w:tc>
          <w:tcPr>
            <w:tcW w:w="2500" w:type="dxa"/>
            <w:tcBorders>
              <w:top w:val="nil"/>
              <w:left w:val="nil"/>
              <w:bottom w:val="nil"/>
              <w:right w:val="nil"/>
            </w:tcBorders>
            <w:vAlign w:val="center"/>
          </w:tcPr>
          <w:p w14:paraId="0FFE85C7">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3.3.1</w:t>
            </w:r>
            <w:r>
              <w:rPr>
                <w:rFonts w:hint="eastAsia"/>
              </w:rPr>
              <w:t>节，经典模拟退火对照</w:t>
            </w:r>
          </w:p>
        </w:tc>
        <w:tc>
          <w:tcPr>
            <w:tcW w:w="3856" w:type="dxa"/>
            <w:tcBorders>
              <w:top w:val="nil"/>
              <w:left w:val="nil"/>
              <w:bottom w:val="nil"/>
              <w:right w:val="nil"/>
            </w:tcBorders>
            <w:vAlign w:val="center"/>
          </w:tcPr>
          <w:p w14:paraId="20B3CF7A">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Metropolis</w:t>
            </w:r>
            <w:r>
              <w:rPr>
                <w:rFonts w:hint="eastAsia"/>
              </w:rPr>
              <w:t>等</w:t>
            </w:r>
            <w:r>
              <w:t xml:space="preserve"> 1953</w:t>
            </w:r>
          </w:p>
        </w:tc>
      </w:tr>
      <w:tr w14:paraId="24AAB336">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23B29C51">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2-opt</w:t>
            </w:r>
            <w:r>
              <w:rPr>
                <w:rFonts w:hint="eastAsia"/>
              </w:rPr>
              <w:t>置换邻域</w:t>
            </w:r>
          </w:p>
        </w:tc>
        <w:tc>
          <w:tcPr>
            <w:tcW w:w="2500" w:type="dxa"/>
            <w:tcBorders>
              <w:top w:val="nil"/>
              <w:left w:val="nil"/>
              <w:bottom w:val="nil"/>
              <w:right w:val="nil"/>
            </w:tcBorders>
            <w:vAlign w:val="center"/>
          </w:tcPr>
          <w:p w14:paraId="44966570">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3.3.3</w:t>
            </w:r>
            <w:r>
              <w:rPr>
                <w:rFonts w:hint="eastAsia"/>
              </w:rPr>
              <w:t>节，置换空间求解器</w:t>
            </w:r>
          </w:p>
        </w:tc>
        <w:tc>
          <w:tcPr>
            <w:tcW w:w="3856" w:type="dxa"/>
            <w:tcBorders>
              <w:top w:val="nil"/>
              <w:left w:val="nil"/>
              <w:bottom w:val="nil"/>
              <w:right w:val="nil"/>
            </w:tcBorders>
            <w:vAlign w:val="center"/>
          </w:tcPr>
          <w:p w14:paraId="25F813AE">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Croes 1958</w:t>
            </w:r>
          </w:p>
        </w:tc>
      </w:tr>
      <w:tr w14:paraId="2E726068">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7F0CFA27">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Lin-Kernighan</w:t>
            </w:r>
            <w:r>
              <w:rPr>
                <w:rFonts w:hint="eastAsia"/>
              </w:rPr>
              <w:t>置换邻域</w:t>
            </w:r>
          </w:p>
        </w:tc>
        <w:tc>
          <w:tcPr>
            <w:tcW w:w="2500" w:type="dxa"/>
            <w:tcBorders>
              <w:top w:val="nil"/>
              <w:left w:val="nil"/>
              <w:bottom w:val="nil"/>
              <w:right w:val="nil"/>
            </w:tcBorders>
            <w:vAlign w:val="center"/>
          </w:tcPr>
          <w:p w14:paraId="58E4D5C0">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3.3.3</w:t>
            </w:r>
            <w:r>
              <w:rPr>
                <w:rFonts w:hint="eastAsia"/>
              </w:rPr>
              <w:t>节，置换空间求解器</w:t>
            </w:r>
          </w:p>
        </w:tc>
        <w:tc>
          <w:tcPr>
            <w:tcW w:w="3856" w:type="dxa"/>
            <w:tcBorders>
              <w:top w:val="nil"/>
              <w:left w:val="nil"/>
              <w:bottom w:val="nil"/>
              <w:right w:val="nil"/>
            </w:tcBorders>
            <w:vAlign w:val="center"/>
          </w:tcPr>
          <w:p w14:paraId="044EA594">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Lin</w:t>
            </w:r>
            <w:r>
              <w:rPr>
                <w:rFonts w:hint="eastAsia"/>
              </w:rPr>
              <w:t>与</w:t>
            </w:r>
            <w:r>
              <w:t>Kernighan 1973</w:t>
            </w:r>
          </w:p>
        </w:tc>
      </w:tr>
      <w:tr w14:paraId="426909C4">
        <w:tblPrEx>
          <w:tblCellMar>
            <w:top w:w="0" w:type="dxa"/>
            <w:left w:w="108" w:type="dxa"/>
            <w:bottom w:w="0" w:type="dxa"/>
            <w:right w:w="108" w:type="dxa"/>
          </w:tblCellMar>
        </w:tblPrEx>
        <w:trPr>
          <w:trHeight w:val="0" w:hRule="atLeast"/>
          <w:jc w:val="center"/>
        </w:trPr>
        <w:tc>
          <w:tcPr>
            <w:tcW w:w="2500" w:type="dxa"/>
            <w:tcBorders>
              <w:top w:val="nil"/>
              <w:left w:val="nil"/>
              <w:bottom w:val="nil"/>
              <w:right w:val="nil"/>
            </w:tcBorders>
            <w:vAlign w:val="center"/>
          </w:tcPr>
          <w:p w14:paraId="294C9840">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StrongARM</w:t>
            </w:r>
            <w:r>
              <w:rPr>
                <w:rFonts w:hint="eastAsia"/>
              </w:rPr>
              <w:t>锁存比较器</w:t>
            </w:r>
          </w:p>
        </w:tc>
        <w:tc>
          <w:tcPr>
            <w:tcW w:w="2500" w:type="dxa"/>
            <w:tcBorders>
              <w:top w:val="nil"/>
              <w:left w:val="nil"/>
              <w:bottom w:val="nil"/>
              <w:right w:val="nil"/>
            </w:tcBorders>
            <w:vAlign w:val="center"/>
          </w:tcPr>
          <w:p w14:paraId="55008432">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3.5.1</w:t>
            </w:r>
            <w:r>
              <w:rPr>
                <w:rFonts w:hint="eastAsia"/>
              </w:rPr>
              <w:t>节，读出通路</w:t>
            </w:r>
          </w:p>
        </w:tc>
        <w:tc>
          <w:tcPr>
            <w:tcW w:w="3856" w:type="dxa"/>
            <w:tcBorders>
              <w:top w:val="nil"/>
              <w:left w:val="nil"/>
              <w:bottom w:val="nil"/>
              <w:right w:val="nil"/>
            </w:tcBorders>
            <w:vAlign w:val="center"/>
          </w:tcPr>
          <w:p w14:paraId="17BAEE77">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Razavi 2015</w:t>
            </w:r>
          </w:p>
        </w:tc>
      </w:tr>
      <w:tr w14:paraId="2B3DC886">
        <w:tblPrEx>
          <w:tblCellMar>
            <w:top w:w="0" w:type="dxa"/>
            <w:left w:w="108" w:type="dxa"/>
            <w:bottom w:w="0" w:type="dxa"/>
            <w:right w:w="108" w:type="dxa"/>
          </w:tblCellMar>
        </w:tblPrEx>
        <w:trPr>
          <w:trHeight w:val="0" w:hRule="atLeast"/>
          <w:jc w:val="center"/>
        </w:trPr>
        <w:tc>
          <w:tcPr>
            <w:tcW w:w="2500" w:type="dxa"/>
            <w:tcBorders>
              <w:top w:val="nil"/>
              <w:left w:val="nil"/>
              <w:bottom w:val="single" w:color="auto" w:sz="12" w:space="0"/>
              <w:right w:val="nil"/>
            </w:tcBorders>
            <w:vAlign w:val="center"/>
          </w:tcPr>
          <w:p w14:paraId="5733CAE7">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MOS</w:t>
            </w:r>
            <w:r>
              <w:rPr>
                <w:rFonts w:hint="eastAsia"/>
              </w:rPr>
              <w:t>器件失配模型</w:t>
            </w:r>
          </w:p>
        </w:tc>
        <w:tc>
          <w:tcPr>
            <w:tcW w:w="2500" w:type="dxa"/>
            <w:tcBorders>
              <w:top w:val="nil"/>
              <w:left w:val="nil"/>
              <w:bottom w:val="single" w:color="auto" w:sz="12" w:space="0"/>
              <w:right w:val="nil"/>
            </w:tcBorders>
            <w:vAlign w:val="center"/>
          </w:tcPr>
          <w:p w14:paraId="523CDB3B">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3.5.5</w:t>
            </w:r>
            <w:r>
              <w:rPr>
                <w:rFonts w:hint="eastAsia"/>
              </w:rPr>
              <w:t>节，读出失配蒙特卡洛</w:t>
            </w:r>
          </w:p>
        </w:tc>
        <w:tc>
          <w:tcPr>
            <w:tcW w:w="3856" w:type="dxa"/>
            <w:tcBorders>
              <w:top w:val="nil"/>
              <w:left w:val="nil"/>
              <w:bottom w:val="single" w:color="auto" w:sz="12" w:space="0"/>
              <w:right w:val="nil"/>
            </w:tcBorders>
            <w:vAlign w:val="center"/>
          </w:tcPr>
          <w:p w14:paraId="22F1DA7B">
            <w:pPr>
              <w:pStyle w:val="46"/>
              <w:keepNext/>
              <w:keepLines w:val="0"/>
              <w:pageBreakBefore w:val="0"/>
              <w:widowControl/>
              <w:kinsoku/>
              <w:wordWrap/>
              <w:overflowPunct/>
              <w:topLinePunct w:val="0"/>
              <w:autoSpaceDE/>
              <w:autoSpaceDN/>
              <w:bidi w:val="0"/>
              <w:snapToGrid w:val="0"/>
              <w:spacing w:line="240" w:lineRule="auto"/>
              <w:ind w:left="0" w:leftChars="0" w:right="0" w:rightChars="0" w:firstLine="0" w:firstLineChars="0"/>
              <w:jc w:val="left"/>
            </w:pPr>
            <w:r>
              <w:t>Pelgrom</w:t>
            </w:r>
            <w:r>
              <w:rPr>
                <w:rFonts w:hint="eastAsia"/>
              </w:rPr>
              <w:t>等</w:t>
            </w:r>
            <w:r>
              <w:t xml:space="preserve"> 1989</w:t>
            </w:r>
          </w:p>
        </w:tc>
      </w:tr>
    </w:tbl>
    <w:p w14:paraId="32FD4370">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原已引用的</w:t>
      </w:r>
      <w:r>
        <w:t>p-bit</w:t>
      </w:r>
      <w:r>
        <w:rPr>
          <w:rFonts w:hint="eastAsia"/>
        </w:rPr>
        <w:t>综述</w:t>
      </w:r>
      <w:r>
        <w:t xml:space="preserve"> (Camsari</w:t>
      </w:r>
      <w:r>
        <w:rPr>
          <w:rFonts w:hint="eastAsia"/>
        </w:rPr>
        <w:t>等</w:t>
      </w:r>
      <w:r>
        <w:t xml:space="preserve"> 2019) </w:t>
      </w:r>
      <w:r>
        <w:rPr>
          <w:rFonts w:hint="eastAsia"/>
        </w:rPr>
        <w:t>此前只出现在硬件投影参数的出处，现已在</w:t>
      </w:r>
      <w:r>
        <w:t>3.1.1</w:t>
      </w:r>
      <w:r>
        <w:rPr>
          <w:rFonts w:hint="eastAsia"/>
        </w:rPr>
        <w:t>节首次使用处一并标注。连同论文原有的伊辛映射</w:t>
      </w:r>
      <w:r>
        <w:t xml:space="preserve"> (Lucas 2014)</w:t>
      </w:r>
      <w:r>
        <w:rPr>
          <w:rFonts w:hint="eastAsia"/>
        </w:rPr>
        <w:t>、模拟退火</w:t>
      </w:r>
      <w:r>
        <w:t xml:space="preserve"> (Kirkpatrick</w:t>
      </w:r>
      <w:r>
        <w:rPr>
          <w:rFonts w:hint="eastAsia"/>
        </w:rPr>
        <w:t>等</w:t>
      </w:r>
      <w:r>
        <w:t xml:space="preserve"> 1983)</w:t>
      </w:r>
      <w:r>
        <w:rPr>
          <w:rFonts w:hint="eastAsia"/>
        </w:rPr>
        <w:t>、</w:t>
      </w:r>
      <w:r>
        <w:t>sMTJ</w:t>
      </w:r>
      <w:r>
        <w:rPr>
          <w:rFonts w:hint="eastAsia"/>
        </w:rPr>
        <w:t>概率计算实验</w:t>
      </w:r>
      <w:r>
        <w:t xml:space="preserve"> (Borders</w:t>
      </w:r>
      <w:r>
        <w:rPr>
          <w:rFonts w:hint="eastAsia"/>
        </w:rPr>
        <w:t>等</w:t>
      </w:r>
      <w:r>
        <w:t xml:space="preserve"> 2019) </w:t>
      </w:r>
      <w:r>
        <w:rPr>
          <w:rFonts w:hint="eastAsia"/>
        </w:rPr>
        <w:t>等引文，第</w:t>
      </w:r>
      <w:r>
        <w:t>3</w:t>
      </w:r>
      <w:r>
        <w:rPr>
          <w:rFonts w:hint="eastAsia"/>
        </w:rPr>
        <w:t>章每一个理论与方法组件现在都能在使用处查到出处。全部文献的著录与</w:t>
      </w:r>
      <w:r>
        <w:t>DOI</w:t>
      </w:r>
      <w:r>
        <w:rPr>
          <w:rFonts w:hint="eastAsia"/>
        </w:rPr>
        <w:t>链接见附件《本文与</w:t>
      </w:r>
      <w:r>
        <w:t>Si</w:t>
      </w:r>
      <w:r>
        <w:rPr>
          <w:rFonts w:hint="eastAsia"/>
        </w:rPr>
        <w:t>等</w:t>
      </w:r>
      <w:r>
        <w:t xml:space="preserve"> (2024) </w:t>
      </w:r>
      <w:r>
        <w:rPr>
          <w:rFonts w:hint="eastAsia"/>
        </w:rPr>
        <w:t>工作的对比》文末的文献表。</w:t>
      </w:r>
    </w:p>
    <w:p w14:paraId="11D91995">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修改位置。第</w:t>
      </w:r>
      <w:r>
        <w:t>3</w:t>
      </w:r>
      <w:r>
        <w:rPr>
          <w:rFonts w:hint="eastAsia"/>
        </w:rPr>
        <w:t>章</w:t>
      </w:r>
      <w:r>
        <w:t>3.1.1</w:t>
      </w:r>
      <w:r>
        <w:rPr>
          <w:rFonts w:hint="eastAsia"/>
        </w:rPr>
        <w:t>、</w:t>
      </w:r>
      <w:r>
        <w:t>3.3</w:t>
      </w:r>
      <w:r>
        <w:rPr>
          <w:rFonts w:hint="eastAsia"/>
        </w:rPr>
        <w:t>、</w:t>
      </w:r>
      <w:r>
        <w:t>3.3.1</w:t>
      </w:r>
      <w:r>
        <w:rPr>
          <w:rFonts w:hint="eastAsia"/>
        </w:rPr>
        <w:t>、</w:t>
      </w:r>
      <w:r>
        <w:t>3.3.3</w:t>
      </w:r>
      <w:r>
        <w:rPr>
          <w:rFonts w:hint="eastAsia"/>
        </w:rPr>
        <w:t>、</w:t>
      </w:r>
      <w:r>
        <w:t>3.5.1</w:t>
      </w:r>
      <w:r>
        <w:rPr>
          <w:rFonts w:hint="eastAsia"/>
        </w:rPr>
        <w:t>、</w:t>
      </w:r>
      <w:r>
        <w:t>3.5.5</w:t>
      </w:r>
      <w:r>
        <w:rPr>
          <w:rFonts w:hint="eastAsia"/>
        </w:rPr>
        <w:t>各节正文，以及章末参考文献表。</w:t>
      </w:r>
    </w:p>
    <w:p w14:paraId="22AA5400">
      <w:pPr>
        <w:pStyle w:val="5"/>
        <w:bidi w:val="0"/>
      </w:pPr>
      <w:r>
        <w:rPr>
          <w:rFonts w:hint="eastAsia"/>
        </w:rPr>
        <w:t>意见三：补充</w:t>
      </w:r>
      <w:r>
        <w:t>Si</w:t>
      </w:r>
      <w:r>
        <w:rPr>
          <w:rFonts w:hint="eastAsia"/>
        </w:rPr>
        <w:t>等</w:t>
      </w:r>
      <w:r>
        <w:t xml:space="preserve"> (2024) </w:t>
      </w:r>
      <w:r>
        <w:rPr>
          <w:rFonts w:hint="eastAsia"/>
        </w:rPr>
        <w:t>一文并说明本文与其不同之处</w:t>
      </w:r>
    </w:p>
    <w:p w14:paraId="19DB1CF0">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修改说明。已在</w:t>
      </w:r>
      <w:r>
        <w:t>3.3.3</w:t>
      </w:r>
      <w:r>
        <w:rPr>
          <w:rFonts w:hint="eastAsia"/>
        </w:rPr>
        <w:t>节</w:t>
      </w:r>
      <w:r>
        <w:t>“</w:t>
      </w:r>
      <w:r>
        <w:rPr>
          <w:rFonts w:hint="eastAsia"/>
        </w:rPr>
        <w:t>问题布置与规模限制</w:t>
      </w:r>
      <w:r>
        <w:t>”</w:t>
      </w:r>
      <w:r>
        <w:rPr>
          <w:rFonts w:hint="eastAsia"/>
        </w:rPr>
        <w:t>段补引该文，作为大规模</w:t>
      </w:r>
      <w:r>
        <w:t>TSP</w:t>
      </w:r>
      <w:r>
        <w:rPr>
          <w:rFonts w:hint="eastAsia"/>
        </w:rPr>
        <w:t>依赖问题分解的硬件实验代表，与本文在求解器侧改造更新粒度的路线形成对照。两项工作的逐项差异整理为附件《本文与</w:t>
      </w:r>
      <w:r>
        <w:t>Si</w:t>
      </w:r>
      <w:r>
        <w:rPr>
          <w:rFonts w:hint="eastAsia"/>
        </w:rPr>
        <w:t>等</w:t>
      </w:r>
      <w:r>
        <w:t xml:space="preserve"> (2024) </w:t>
      </w:r>
      <w:r>
        <w:rPr>
          <w:rFonts w:hint="eastAsia"/>
        </w:rPr>
        <w:t>工作的对比》随修改稿一并提交，从工作性质、器件与随机性的使用方式、退火与采样规则、</w:t>
      </w:r>
      <w:r>
        <w:t>TSP</w:t>
      </w:r>
      <w:r>
        <w:rPr>
          <w:rFonts w:hint="eastAsia"/>
        </w:rPr>
        <w:t>路线、能耗数字的口径、阵列化分析的层次六个方面说明，要点如下。</w:t>
      </w:r>
    </w:p>
    <w:p w14:paraId="108885D8">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该文的成果是一台可运行的硬件系统与一套问题压缩算法，即</w:t>
      </w:r>
      <w:r>
        <w:t>80</w:t>
      </w:r>
      <w:r>
        <w:rPr>
          <w:rFonts w:hint="eastAsia"/>
        </w:rPr>
        <w:t>器件</w:t>
      </w:r>
      <w:r>
        <w:t>PCB</w:t>
      </w:r>
      <w:r>
        <w:rPr>
          <w:rFonts w:hint="eastAsia"/>
        </w:rPr>
        <w:t>实验、图分割加约束</w:t>
      </w:r>
      <w:r>
        <w:t>TSP</w:t>
      </w:r>
      <w:r>
        <w:rPr>
          <w:rFonts w:hint="eastAsia"/>
        </w:rPr>
        <w:t>的分解流程与交叉杆架构提议；本文的成果是跨层评估方法与设计规则，同一组实例、退火协议与随机种子贯通算法、器件、电路三层，产出灵敏度排序、归一化容差与口径修正。器件工作方式不同：该文器件在直流偏置下自由涨落，以约</w:t>
      </w:r>
      <w:r>
        <w:t>0.1 ms</w:t>
      </w:r>
      <w:r>
        <w:rPr>
          <w:rFonts w:hint="eastAsia"/>
        </w:rPr>
        <w:t>的保持时间为节拍被动读出，主频</w:t>
      </w:r>
      <w:r>
        <w:t>10 kHz</w:t>
      </w:r>
      <w:r>
        <w:rPr>
          <w:rFonts w:hint="eastAsia"/>
        </w:rPr>
        <w:t>；本文器件为</w:t>
      </w:r>
      <w:r>
        <w:t>SOT</w:t>
      </w:r>
      <w:r>
        <w:rPr>
          <w:rFonts w:hint="eastAsia"/>
        </w:rPr>
        <w:t>脉冲写入型，每次更新是复位加</w:t>
      </w:r>
      <w:r>
        <w:t>0.75 ns</w:t>
      </w:r>
      <w:r>
        <w:rPr>
          <w:rFonts w:hint="eastAsia"/>
        </w:rPr>
        <w:t>概率写的同步事件。</w:t>
      </w:r>
      <w:r>
        <w:t>TSP</w:t>
      </w:r>
      <w:r>
        <w:rPr>
          <w:rFonts w:hint="eastAsia"/>
        </w:rPr>
        <w:t>路线正交：该文在问题侧做分解，本文在求解器侧把更新粒度从单自旋改为置换簇更新，两条路线可以组合。能耗口径不同：该文报告的</w:t>
      </w:r>
      <w:r>
        <w:t>0.64 mW</w:t>
      </w:r>
      <w:r>
        <w:rPr>
          <w:rFonts w:hint="eastAsia"/>
        </w:rPr>
        <w:t>为计算内核口径，本文实测外围驱动的静态功耗与建立时间使端到端能耗较器件级放大约</w:t>
      </w:r>
      <w:r>
        <w:t>18.7</w:t>
      </w:r>
      <w:r>
        <w:rPr>
          <w:rFonts w:hint="eastAsia"/>
        </w:rPr>
        <w:t>倍，并据此指出跨平台能耗结论必须与口径边界一并陈述。</w:t>
      </w:r>
    </w:p>
    <w:p w14:paraId="0C473388">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修改位置。第</w:t>
      </w:r>
      <w:r>
        <w:t>3</w:t>
      </w:r>
      <w:r>
        <w:rPr>
          <w:rFonts w:hint="eastAsia"/>
        </w:rPr>
        <w:t>章</w:t>
      </w:r>
      <w:r>
        <w:t>3.3.3</w:t>
      </w:r>
      <w:r>
        <w:rPr>
          <w:rFonts w:hint="eastAsia"/>
        </w:rPr>
        <w:t>节与章末参考文献表；附件《本文与</w:t>
      </w:r>
      <w:r>
        <w:t>Si</w:t>
      </w:r>
      <w:r>
        <w:rPr>
          <w:rFonts w:hint="eastAsia"/>
        </w:rPr>
        <w:t>等</w:t>
      </w:r>
      <w:r>
        <w:t xml:space="preserve"> (2024) </w:t>
      </w:r>
      <w:r>
        <w:rPr>
          <w:rFonts w:hint="eastAsia"/>
        </w:rPr>
        <w:t>工作的对比》。</w:t>
      </w:r>
    </w:p>
    <w:p w14:paraId="057DBDD1">
      <w:pPr>
        <w:pStyle w:val="5"/>
        <w:bidi w:val="0"/>
      </w:pPr>
      <w:r>
        <w:rPr>
          <w:rFonts w:hint="eastAsia"/>
        </w:rPr>
        <w:t>关于方法来源与自研工作的边界</w:t>
      </w:r>
    </w:p>
    <w:p w14:paraId="1DA97C85">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按专家关于理论是否都来自参考文献、设计实现是否自己完成的问法，此处一并说明。</w:t>
      </w:r>
    </w:p>
    <w:p w14:paraId="07F840D5">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r>
        <w:rPr>
          <w:rFonts w:hint="eastAsia"/>
        </w:rPr>
        <w:t>理论组件均来自上述公开文献，公式可由文献给出的定义从头推导，本文未在这一层提出新的理论。自主完成的是设计与实现：开源仿真框架与全部基准代码、器件行为模型及第二章标定参数的接入、</w:t>
      </w:r>
      <w:r>
        <w:t>sky130</w:t>
      </w:r>
      <w:r>
        <w:rPr>
          <w:rFonts w:hint="eastAsia"/>
        </w:rPr>
        <w:t>工艺下的晶体管级测试台与全部电路实验，以及全部实验数据的生成与统计分析。本文是纯仿真工作，第</w:t>
      </w:r>
      <w:r>
        <w:t>3</w:t>
      </w:r>
      <w:r>
        <w:rPr>
          <w:rFonts w:hint="eastAsia"/>
        </w:rPr>
        <w:t>章所有结果均带随机种子记录，可由随论文归档的脚本复现，未使用任何外部未公开代码。就</w:t>
      </w:r>
      <w:r>
        <w:t>Si</w:t>
      </w:r>
      <w:r>
        <w:rPr>
          <w:rFonts w:hint="eastAsia"/>
        </w:rPr>
        <w:t>等</w:t>
      </w:r>
      <w:r>
        <w:t xml:space="preserve"> (2024) </w:t>
      </w:r>
      <w:r>
        <w:rPr>
          <w:rFonts w:hint="eastAsia"/>
        </w:rPr>
        <w:t>而言，该文代码未公开，其文末注明需向通讯作者索取，作者未曾索取，本文实现与其没有交集。</w:t>
      </w:r>
    </w:p>
    <w:p w14:paraId="5443F3F5">
      <w:pPr>
        <w:pStyle w:val="4"/>
        <w:rPr>
          <w:rFonts w:hint="eastAsia"/>
        </w:rPr>
      </w:pPr>
    </w:p>
    <w:p w14:paraId="0CB9685F">
      <w:pPr>
        <w:pStyle w:val="4"/>
        <w:rPr>
          <w:rFonts w:hint="eastAsia"/>
        </w:rPr>
      </w:pPr>
    </w:p>
    <w:p w14:paraId="49A30AB5">
      <w:pPr>
        <w:pStyle w:val="4"/>
        <w:rPr>
          <w:rFonts w:hint="eastAsia"/>
        </w:rPr>
      </w:pPr>
    </w:p>
    <w:p w14:paraId="37EFFC2B">
      <w:pPr>
        <w:pStyle w:val="45"/>
        <w:keepNext w:val="0"/>
        <w:keepLines w:val="0"/>
        <w:pageBreakBefore w:val="0"/>
        <w:widowControl/>
        <w:kinsoku/>
        <w:wordWrap/>
        <w:overflowPunct/>
        <w:topLinePunct w:val="0"/>
        <w:autoSpaceDE/>
        <w:autoSpaceDN/>
        <w:bidi w:val="0"/>
        <w:snapToGrid/>
        <w:spacing w:line="240" w:lineRule="auto"/>
        <w:ind w:firstLine="420" w:firstLineChars="200"/>
        <w:jc w:val="left"/>
      </w:pPr>
    </w:p>
    <w:p w14:paraId="79A565B9">
      <w:pPr>
        <w:pStyle w:val="4"/>
      </w:pPr>
    </w:p>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ind w:firstLine="480"/>
      </w:pPr>
      <w:r>
        <w:separator/>
      </w:r>
    </w:p>
  </w:footnote>
  <w:footnote w:type="continuationSeparator" w:id="1">
    <w:p>
      <w:pPr>
        <w:spacing w:before="0" w:after="0" w:line="312"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07634BF4"/>
    <w:rsid w:val="190D42EB"/>
    <w:rsid w:val="1C6F7740"/>
    <w:rsid w:val="1D7C3EC2"/>
    <w:rsid w:val="232A616E"/>
    <w:rsid w:val="277420AE"/>
    <w:rsid w:val="279D33B3"/>
    <w:rsid w:val="2C4B162F"/>
    <w:rsid w:val="327E553D"/>
    <w:rsid w:val="33F9432B"/>
    <w:rsid w:val="3ABE04B2"/>
    <w:rsid w:val="41B946AF"/>
    <w:rsid w:val="485E2DF8"/>
    <w:rsid w:val="4BBB220E"/>
    <w:rsid w:val="4FD5108C"/>
    <w:rsid w:val="609B59DA"/>
    <w:rsid w:val="6609788A"/>
    <w:rsid w:val="67410A93"/>
    <w:rsid w:val="6A6D488B"/>
    <w:rsid w:val="7F3948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qFormat="1" w:unhideWhenUsed="0" w:uiPriority="34" w:semiHidden="0" w:name="index heading"/>
    <w:lsdException w:qFormat="1" w:uiPriority="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34"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34"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2" w:after="62" w:line="312" w:lineRule="auto"/>
      <w:ind w:firstLine="964" w:firstLineChars="200"/>
    </w:pPr>
    <w:rPr>
      <w:rFonts w:ascii="Times New Roman" w:hAnsi="Times New Roman" w:eastAsia="宋体" w:cs="Times New Roman"/>
      <w:sz w:val="24"/>
      <w:szCs w:val="24"/>
      <w:lang w:val="en-US" w:eastAsia="zh-CN" w:bidi="ar-SA"/>
    </w:rPr>
  </w:style>
  <w:style w:type="paragraph" w:styleId="2">
    <w:name w:val="heading 1"/>
    <w:basedOn w:val="1"/>
    <w:next w:val="1"/>
    <w:link w:val="137"/>
    <w:autoRedefine/>
    <w:qFormat/>
    <w:uiPriority w:val="0"/>
    <w:pPr>
      <w:spacing w:before="0" w:after="0" w:line="290" w:lineRule="auto"/>
      <w:ind w:firstLine="0" w:firstLineChars="0"/>
      <w:jc w:val="center"/>
      <w:outlineLvl w:val="0"/>
    </w:pPr>
    <w:rPr>
      <w:rFonts w:ascii="Arial" w:eastAsia="黑体"/>
      <w:kern w:val="2"/>
      <w:sz w:val="52"/>
    </w:rPr>
  </w:style>
  <w:style w:type="paragraph" w:styleId="3">
    <w:name w:val="heading 2"/>
    <w:basedOn w:val="1"/>
    <w:next w:val="4"/>
    <w:link w:val="138"/>
    <w:autoRedefine/>
    <w:unhideWhenUsed/>
    <w:qFormat/>
    <w:uiPriority w:val="0"/>
    <w:pPr>
      <w:adjustRightInd w:val="0"/>
      <w:spacing w:before="480" w:after="360" w:line="240" w:lineRule="auto"/>
      <w:ind w:firstLine="0" w:firstLineChars="0"/>
      <w:jc w:val="center"/>
      <w:textAlignment w:val="baseline"/>
      <w:outlineLvl w:val="1"/>
    </w:pPr>
    <w:rPr>
      <w:rFonts w:ascii="黑体" w:hAnsi="黑体" w:eastAsia="黑体"/>
      <w:sz w:val="32"/>
      <w:szCs w:val="32"/>
    </w:rPr>
  </w:style>
  <w:style w:type="paragraph" w:styleId="5">
    <w:name w:val="heading 3"/>
    <w:basedOn w:val="1"/>
    <w:next w:val="4"/>
    <w:link w:val="55"/>
    <w:unhideWhenUsed/>
    <w:qFormat/>
    <w:uiPriority w:val="0"/>
    <w:pPr>
      <w:spacing w:before="0" w:beforeAutospacing="1" w:after="0" w:afterAutospacing="1" w:line="240" w:lineRule="auto"/>
      <w:ind w:firstLine="0" w:firstLineChars="0"/>
      <w:outlineLvl w:val="2"/>
    </w:pPr>
    <w:rPr>
      <w:b/>
      <w:bCs/>
      <w:sz w:val="27"/>
      <w:szCs w:val="27"/>
    </w:rPr>
  </w:style>
  <w:style w:type="paragraph" w:styleId="6">
    <w:name w:val="heading 4"/>
    <w:basedOn w:val="1"/>
    <w:next w:val="4"/>
    <w:link w:val="56"/>
    <w:autoRedefine/>
    <w:unhideWhenUsed/>
    <w:qFormat/>
    <w:uiPriority w:val="0"/>
    <w:pPr>
      <w:keepNext/>
      <w:keepLines/>
      <w:spacing w:before="40" w:after="50" w:line="372" w:lineRule="auto"/>
      <w:ind w:firstLine="0" w:firstLineChars="0"/>
      <w:outlineLvl w:val="3"/>
    </w:pPr>
    <w:rPr>
      <w:rFonts w:cs="等线"/>
      <w:b/>
    </w:rPr>
  </w:style>
  <w:style w:type="paragraph" w:styleId="7">
    <w:name w:val="heading 5"/>
    <w:basedOn w:val="1"/>
    <w:next w:val="1"/>
    <w:link w:val="126"/>
    <w:autoRedefine/>
    <w:unhideWhenUsed/>
    <w:qFormat/>
    <w:uiPriority w:val="0"/>
    <w:pPr>
      <w:outlineLvl w:val="4"/>
    </w:pPr>
    <w:rPr>
      <w:rFonts w:cs="等线"/>
      <w:b/>
      <w:bCs/>
      <w:szCs w:val="20"/>
    </w:rPr>
  </w:style>
  <w:style w:type="paragraph" w:styleId="8">
    <w:name w:val="heading 6"/>
    <w:basedOn w:val="1"/>
    <w:next w:val="1"/>
    <w:link w:val="58"/>
    <w:unhideWhenUsed/>
    <w:qFormat/>
    <w:uiPriority w:val="0"/>
    <w:pPr>
      <w:keepNext/>
      <w:keepLines/>
      <w:spacing w:before="240" w:after="64" w:line="317" w:lineRule="auto"/>
      <w:outlineLvl w:val="5"/>
    </w:pPr>
    <w:rPr>
      <w:rFonts w:ascii="Arial" w:hAnsi="Arial" w:eastAsia="黑体"/>
      <w:b/>
    </w:rPr>
  </w:style>
  <w:style w:type="paragraph" w:styleId="9">
    <w:name w:val="heading 7"/>
    <w:basedOn w:val="1"/>
    <w:next w:val="1"/>
    <w:link w:val="59"/>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link w:val="60"/>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link w:val="6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36">
    <w:name w:val="Default Paragraph Font"/>
    <w:semiHidden/>
    <w:unhideWhenUsed/>
    <w:qFormat/>
    <w:uiPriority w:val="1"/>
  </w:style>
  <w:style w:type="table" w:default="1" w:styleId="34">
    <w:name w:val="Normal Table"/>
    <w:semiHidden/>
    <w:qFormat/>
    <w:uiPriority w:val="0"/>
    <w:tblPr>
      <w:tblCellMar>
        <w:top w:w="0" w:type="dxa"/>
        <w:left w:w="108" w:type="dxa"/>
        <w:bottom w:w="0" w:type="dxa"/>
        <w:right w:w="108" w:type="dxa"/>
      </w:tblCellMar>
    </w:tblPr>
  </w:style>
  <w:style w:type="paragraph" w:styleId="4">
    <w:name w:val="Body Text"/>
    <w:basedOn w:val="1"/>
    <w:link w:val="71"/>
    <w:qFormat/>
    <w:uiPriority w:val="0"/>
    <w:pPr>
      <w:spacing w:line="120" w:lineRule="auto"/>
      <w:ind w:firstLine="0" w:firstLineChars="0"/>
    </w:pPr>
    <w:rPr>
      <w:sz w:val="21"/>
    </w:rPr>
  </w:style>
  <w:style w:type="paragraph" w:styleId="12">
    <w:name w:val="toc 7"/>
    <w:basedOn w:val="1"/>
    <w:next w:val="1"/>
    <w:autoRedefine/>
    <w:unhideWhenUsed/>
    <w:qFormat/>
    <w:uiPriority w:val="39"/>
    <w:pPr>
      <w:spacing w:after="160" w:line="278" w:lineRule="auto"/>
      <w:ind w:left="2520" w:leftChars="1200" w:firstLine="0" w:firstLineChars="0"/>
    </w:pPr>
    <w:rPr>
      <w:rFonts w:asciiTheme="minorHAnsi" w:hAnsiTheme="minorHAnsi" w:eastAsiaTheme="minorEastAsia"/>
      <w:sz w:val="22"/>
      <w14:ligatures w14:val="standardContextual"/>
    </w:rPr>
  </w:style>
  <w:style w:type="paragraph" w:styleId="13">
    <w:name w:val="caption"/>
    <w:basedOn w:val="1"/>
    <w:next w:val="1"/>
    <w:semiHidden/>
    <w:unhideWhenUsed/>
    <w:qFormat/>
    <w:uiPriority w:val="0"/>
    <w:rPr>
      <w:rFonts w:ascii="Arial" w:hAnsi="Arial" w:eastAsia="黑体"/>
      <w:sz w:val="20"/>
    </w:rPr>
  </w:style>
  <w:style w:type="paragraph" w:styleId="14">
    <w:name w:val="Block Text"/>
    <w:basedOn w:val="4"/>
    <w:next w:val="4"/>
    <w:unhideWhenUsed/>
    <w:qFormat/>
    <w:uiPriority w:val="9"/>
    <w:pPr>
      <w:pBdr>
        <w:top w:val="single" w:color="auto" w:sz="4" w:space="0"/>
        <w:left w:val="single" w:color="auto" w:sz="4" w:space="0"/>
        <w:bottom w:val="single" w:color="auto" w:sz="4" w:space="0"/>
        <w:right w:val="single" w:color="auto" w:sz="4" w:space="0"/>
      </w:pBdr>
    </w:pPr>
  </w:style>
  <w:style w:type="paragraph" w:styleId="15">
    <w:name w:val="toc 5"/>
    <w:basedOn w:val="1"/>
    <w:next w:val="1"/>
    <w:link w:val="131"/>
    <w:autoRedefine/>
    <w:qFormat/>
    <w:uiPriority w:val="39"/>
    <w:pPr>
      <w:spacing w:line="240" w:lineRule="auto"/>
      <w:ind w:firstLine="0" w:firstLineChars="0"/>
      <w:jc w:val="center"/>
    </w:pPr>
  </w:style>
  <w:style w:type="paragraph" w:styleId="16">
    <w:name w:val="toc 3"/>
    <w:basedOn w:val="1"/>
    <w:next w:val="1"/>
    <w:qFormat/>
    <w:uiPriority w:val="39"/>
    <w:pPr>
      <w:spacing w:line="240" w:lineRule="auto"/>
      <w:ind w:left="839" w:firstLine="1040"/>
      <w:jc w:val="center"/>
    </w:pPr>
  </w:style>
  <w:style w:type="paragraph" w:styleId="17">
    <w:name w:val="toc 8"/>
    <w:basedOn w:val="1"/>
    <w:next w:val="1"/>
    <w:autoRedefine/>
    <w:unhideWhenUsed/>
    <w:qFormat/>
    <w:uiPriority w:val="39"/>
    <w:pPr>
      <w:spacing w:after="160" w:line="278" w:lineRule="auto"/>
      <w:ind w:left="2940" w:leftChars="1400" w:firstLine="0" w:firstLineChars="0"/>
    </w:pPr>
    <w:rPr>
      <w:rFonts w:asciiTheme="minorHAnsi" w:hAnsiTheme="minorHAnsi" w:eastAsiaTheme="minorEastAsia"/>
      <w:sz w:val="22"/>
      <w14:ligatures w14:val="standardContextual"/>
    </w:rPr>
  </w:style>
  <w:style w:type="paragraph" w:styleId="18">
    <w:name w:val="Date"/>
    <w:basedOn w:val="1"/>
    <w:next w:val="1"/>
    <w:qFormat/>
    <w:uiPriority w:val="0"/>
    <w:pPr>
      <w:ind w:left="100" w:leftChars="2500"/>
    </w:pPr>
  </w:style>
  <w:style w:type="paragraph" w:styleId="19">
    <w:name w:val="endnote text"/>
    <w:basedOn w:val="1"/>
    <w:qFormat/>
    <w:uiPriority w:val="0"/>
    <w:pPr>
      <w:snapToGrid w:val="0"/>
    </w:pPr>
  </w:style>
  <w:style w:type="paragraph" w:styleId="20">
    <w:name w:val="footer"/>
    <w:basedOn w:val="1"/>
    <w:qFormat/>
    <w:uiPriority w:val="0"/>
    <w:pPr>
      <w:tabs>
        <w:tab w:val="center" w:pos="4153"/>
        <w:tab w:val="right" w:pos="8306"/>
      </w:tabs>
      <w:snapToGrid w:val="0"/>
    </w:pPr>
    <w:rPr>
      <w:sz w:val="18"/>
    </w:rPr>
  </w:style>
  <w:style w:type="paragraph" w:styleId="21">
    <w:name w:val="header"/>
    <w:basedOn w:val="1"/>
    <w:link w:val="13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2">
    <w:name w:val="toc 1"/>
    <w:basedOn w:val="1"/>
    <w:next w:val="1"/>
    <w:qFormat/>
    <w:uiPriority w:val="39"/>
  </w:style>
  <w:style w:type="paragraph" w:styleId="23">
    <w:name w:val="toc 4"/>
    <w:basedOn w:val="1"/>
    <w:next w:val="1"/>
    <w:autoRedefine/>
    <w:qFormat/>
    <w:uiPriority w:val="39"/>
    <w:pPr>
      <w:ind w:left="1260" w:leftChars="600"/>
    </w:pPr>
  </w:style>
  <w:style w:type="paragraph" w:styleId="24">
    <w:name w:val="index heading"/>
    <w:basedOn w:val="25"/>
    <w:next w:val="1"/>
    <w:qFormat/>
    <w:uiPriority w:val="34"/>
  </w:style>
  <w:style w:type="paragraph" w:styleId="25">
    <w:name w:val="Title"/>
    <w:basedOn w:val="2"/>
    <w:link w:val="47"/>
    <w:qFormat/>
    <w:uiPriority w:val="34"/>
  </w:style>
  <w:style w:type="paragraph" w:styleId="26">
    <w:name w:val="Subtitle"/>
    <w:basedOn w:val="1"/>
    <w:next w:val="1"/>
    <w:link w:val="48"/>
    <w:qFormat/>
    <w:uiPriority w:val="34"/>
    <w:pPr>
      <w:widowControl w:val="0"/>
      <w:spacing w:before="480" w:after="120" w:line="400" w:lineRule="exact"/>
      <w:ind w:firstLine="0" w:firstLineChars="0"/>
      <w:jc w:val="center"/>
      <w:outlineLvl w:val="9"/>
    </w:pPr>
    <w:rPr>
      <w:rFonts w:ascii="黑体" w:hAnsi="黑体" w:eastAsia="黑体"/>
      <w:kern w:val="2"/>
      <w:sz w:val="28"/>
      <w:szCs w:val="28"/>
    </w:rPr>
  </w:style>
  <w:style w:type="paragraph" w:styleId="27">
    <w:name w:val="footnote text"/>
    <w:basedOn w:val="1"/>
    <w:link w:val="112"/>
    <w:qFormat/>
    <w:uiPriority w:val="0"/>
    <w:pPr>
      <w:snapToGrid w:val="0"/>
    </w:pPr>
    <w:rPr>
      <w:sz w:val="18"/>
      <w:szCs w:val="18"/>
    </w:rPr>
  </w:style>
  <w:style w:type="paragraph" w:styleId="28">
    <w:name w:val="toc 6"/>
    <w:basedOn w:val="1"/>
    <w:next w:val="1"/>
    <w:autoRedefine/>
    <w:unhideWhenUsed/>
    <w:qFormat/>
    <w:uiPriority w:val="39"/>
    <w:pPr>
      <w:spacing w:after="160" w:line="278" w:lineRule="auto"/>
      <w:ind w:left="2100" w:leftChars="1000" w:firstLine="0" w:firstLineChars="0"/>
    </w:pPr>
    <w:rPr>
      <w:rFonts w:asciiTheme="minorHAnsi" w:hAnsiTheme="minorHAnsi" w:eastAsiaTheme="minorEastAsia"/>
      <w:sz w:val="22"/>
      <w14:ligatures w14:val="standardContextual"/>
    </w:rPr>
  </w:style>
  <w:style w:type="paragraph" w:styleId="29">
    <w:name w:val="table of figures"/>
    <w:basedOn w:val="1"/>
    <w:next w:val="1"/>
    <w:qFormat/>
    <w:uiPriority w:val="99"/>
    <w:pPr>
      <w:ind w:left="200" w:leftChars="200" w:hanging="200" w:hangingChars="200"/>
    </w:pPr>
  </w:style>
  <w:style w:type="paragraph" w:styleId="30">
    <w:name w:val="toc 2"/>
    <w:basedOn w:val="1"/>
    <w:next w:val="1"/>
    <w:qFormat/>
    <w:uiPriority w:val="39"/>
    <w:pPr>
      <w:ind w:left="420" w:leftChars="200"/>
    </w:pPr>
  </w:style>
  <w:style w:type="paragraph" w:styleId="31">
    <w:name w:val="toc 9"/>
    <w:basedOn w:val="1"/>
    <w:next w:val="1"/>
    <w:autoRedefine/>
    <w:unhideWhenUsed/>
    <w:qFormat/>
    <w:uiPriority w:val="39"/>
    <w:pPr>
      <w:spacing w:after="160" w:line="278" w:lineRule="auto"/>
      <w:ind w:left="3360" w:leftChars="1600" w:firstLine="0" w:firstLineChars="0"/>
    </w:pPr>
    <w:rPr>
      <w:rFonts w:asciiTheme="minorHAnsi" w:hAnsiTheme="minorHAnsi" w:eastAsiaTheme="minorEastAsia"/>
      <w:sz w:val="22"/>
      <w14:ligatures w14:val="standardContextual"/>
    </w:rPr>
  </w:style>
  <w:style w:type="paragraph" w:styleId="3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rPr>
  </w:style>
  <w:style w:type="paragraph" w:styleId="33">
    <w:name w:val="Normal (Web)"/>
    <w:basedOn w:val="1"/>
    <w:qFormat/>
    <w:uiPriority w:val="0"/>
    <w:pPr>
      <w:spacing w:beforeAutospacing="1" w:afterAutospacing="1"/>
    </w:p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0"/>
    <w:rPr>
      <w:b/>
    </w:rPr>
  </w:style>
  <w:style w:type="character" w:styleId="38">
    <w:name w:val="endnote reference"/>
    <w:basedOn w:val="36"/>
    <w:qFormat/>
    <w:uiPriority w:val="0"/>
    <w:rPr>
      <w:vertAlign w:val="superscript"/>
    </w:rPr>
  </w:style>
  <w:style w:type="character" w:styleId="39">
    <w:name w:val="FollowedHyperlink"/>
    <w:basedOn w:val="40"/>
    <w:qFormat/>
    <w:uiPriority w:val="0"/>
    <w:rPr>
      <w:rFonts w:ascii="Times New Roman" w:hAnsi="Times New Roman" w:cs="Times New Roman"/>
      <w:sz w:val="24"/>
      <w:szCs w:val="24"/>
      <w:lang w:val="en-US" w:eastAsia="zh-CN" w:bidi="ar-SA"/>
    </w:rPr>
  </w:style>
  <w:style w:type="character" w:styleId="40">
    <w:name w:val="Hyperlink"/>
    <w:basedOn w:val="41"/>
    <w:qFormat/>
    <w:uiPriority w:val="99"/>
    <w:rPr>
      <w:rFonts w:eastAsia="宋体"/>
      <w:color w:val="0000FF"/>
      <w:u w:val="single"/>
    </w:rPr>
  </w:style>
  <w:style w:type="character" w:customStyle="1" w:styleId="41">
    <w:name w:val="Body Text Char"/>
    <w:basedOn w:val="36"/>
    <w:link w:val="4"/>
    <w:qFormat/>
    <w:uiPriority w:val="0"/>
    <w:rPr>
      <w:sz w:val="21"/>
    </w:rPr>
  </w:style>
  <w:style w:type="character" w:styleId="42">
    <w:name w:val="Emphasis"/>
    <w:basedOn w:val="36"/>
    <w:qFormat/>
    <w:uiPriority w:val="0"/>
    <w:rPr>
      <w:i/>
    </w:rPr>
  </w:style>
  <w:style w:type="character" w:styleId="43">
    <w:name w:val="HTML Code"/>
    <w:basedOn w:val="36"/>
    <w:qFormat/>
    <w:uiPriority w:val="0"/>
    <w:rPr>
      <w:rFonts w:ascii="Courier New" w:hAnsi="Courier New"/>
      <w:sz w:val="20"/>
    </w:rPr>
  </w:style>
  <w:style w:type="character" w:styleId="44">
    <w:name w:val="footnote reference"/>
    <w:basedOn w:val="36"/>
    <w:qFormat/>
    <w:uiPriority w:val="0"/>
    <w:rPr>
      <w:vertAlign w:val="superscript"/>
    </w:rPr>
  </w:style>
  <w:style w:type="paragraph" w:customStyle="1" w:styleId="45">
    <w:name w:val="First Paragraph"/>
    <w:basedOn w:val="4"/>
    <w:next w:val="4"/>
    <w:qFormat/>
    <w:uiPriority w:val="0"/>
  </w:style>
  <w:style w:type="paragraph" w:customStyle="1" w:styleId="46">
    <w:name w:val="Compact"/>
    <w:basedOn w:val="4"/>
    <w:qFormat/>
    <w:uiPriority w:val="0"/>
    <w:pPr>
      <w:spacing w:before="36" w:after="36"/>
    </w:pPr>
  </w:style>
  <w:style w:type="character" w:customStyle="1" w:styleId="47">
    <w:name w:val="Title Char"/>
    <w:link w:val="25"/>
    <w:uiPriority w:val="10"/>
  </w:style>
  <w:style w:type="character" w:customStyle="1" w:styleId="48">
    <w:name w:val="Subtitle Char"/>
    <w:link w:val="26"/>
    <w:uiPriority w:val="11"/>
    <w:rPr>
      <w:rFonts w:ascii="黑体" w:hAnsi="黑体" w:eastAsia="黑体"/>
      <w:kern w:val="2"/>
      <w:sz w:val="28"/>
      <w:szCs w:val="28"/>
    </w:rPr>
  </w:style>
  <w:style w:type="paragraph" w:customStyle="1" w:styleId="49">
    <w:name w:val="Author"/>
    <w:basedOn w:val="25"/>
    <w:next w:val="4"/>
    <w:qFormat/>
    <w:uiPriority w:val="0"/>
    <w:pPr>
      <w:keepNext/>
      <w:keepLines/>
    </w:pPr>
    <w:rPr>
      <w:sz w:val="24"/>
      <w:szCs w:val="24"/>
    </w:rPr>
  </w:style>
  <w:style w:type="paragraph" w:customStyle="1" w:styleId="50">
    <w:name w:val="Abstract Title"/>
    <w:basedOn w:val="1"/>
    <w:next w:val="51"/>
    <w:qFormat/>
    <w:uiPriority w:val="0"/>
    <w:pPr>
      <w:keepNext/>
      <w:keepLines/>
      <w:spacing w:before="300" w:after="0"/>
      <w:jc w:val="center"/>
    </w:pPr>
    <w:rPr>
      <w:b/>
      <w:sz w:val="20"/>
      <w:szCs w:val="20"/>
    </w:rPr>
  </w:style>
  <w:style w:type="paragraph" w:customStyle="1" w:styleId="51">
    <w:name w:val="Abstract"/>
    <w:basedOn w:val="1"/>
    <w:next w:val="4"/>
    <w:qFormat/>
    <w:uiPriority w:val="0"/>
    <w:pPr>
      <w:keepNext/>
      <w:keepLines/>
      <w:spacing w:before="100" w:after="300"/>
    </w:pPr>
    <w:rPr>
      <w:sz w:val="20"/>
      <w:szCs w:val="20"/>
    </w:rPr>
  </w:style>
  <w:style w:type="paragraph" w:customStyle="1" w:styleId="52">
    <w:name w:val="Bibliography"/>
    <w:basedOn w:val="1"/>
    <w:qFormat/>
    <w:uiPriority w:val="0"/>
  </w:style>
  <w:style w:type="character" w:customStyle="1" w:styleId="53">
    <w:name w:val="Heading 1 Char"/>
    <w:link w:val="2"/>
    <w:uiPriority w:val="9"/>
    <w:rPr>
      <w:rFonts w:ascii="Arial" w:eastAsia="黑体"/>
      <w:kern w:val="2"/>
      <w:sz w:val="52"/>
    </w:rPr>
  </w:style>
  <w:style w:type="character" w:customStyle="1" w:styleId="54">
    <w:name w:val="Heading 2 Char"/>
    <w:link w:val="3"/>
    <w:semiHidden/>
    <w:uiPriority w:val="9"/>
    <w:rPr>
      <w:rFonts w:ascii="黑体" w:hAnsi="黑体" w:eastAsia="黑体"/>
      <w:sz w:val="32"/>
      <w:szCs w:val="32"/>
    </w:rPr>
  </w:style>
  <w:style w:type="character" w:customStyle="1" w:styleId="55">
    <w:name w:val="Heading 3 Char"/>
    <w:link w:val="5"/>
    <w:semiHidden/>
    <w:uiPriority w:val="9"/>
    <w:rPr>
      <w:b/>
      <w:bCs/>
      <w:sz w:val="27"/>
      <w:szCs w:val="27"/>
    </w:rPr>
  </w:style>
  <w:style w:type="character" w:customStyle="1" w:styleId="56">
    <w:name w:val="Heading 4 Char"/>
    <w:link w:val="6"/>
    <w:semiHidden/>
    <w:uiPriority w:val="9"/>
    <w:rPr>
      <w:rFonts w:cs="等线"/>
      <w:b/>
    </w:rPr>
  </w:style>
  <w:style w:type="character" w:customStyle="1" w:styleId="57">
    <w:name w:val="Heading 5 Char"/>
    <w:link w:val="7"/>
    <w:semiHidden/>
    <w:uiPriority w:val="9"/>
    <w:rPr>
      <w:rFonts w:cs="等线"/>
      <w:b/>
      <w:bCs/>
      <w:szCs w:val="20"/>
    </w:rPr>
  </w:style>
  <w:style w:type="character" w:customStyle="1" w:styleId="58">
    <w:name w:val="Heading 6 Char"/>
    <w:link w:val="8"/>
    <w:semiHidden/>
    <w:uiPriority w:val="9"/>
    <w:rPr>
      <w:rFonts w:ascii="Arial" w:hAnsi="Arial" w:eastAsia="黑体"/>
      <w:b/>
    </w:rPr>
  </w:style>
  <w:style w:type="character" w:customStyle="1" w:styleId="59">
    <w:name w:val="Heading 7 Char"/>
    <w:link w:val="9"/>
    <w:semiHidden/>
    <w:uiPriority w:val="9"/>
    <w:rPr>
      <w:b/>
      <w:sz w:val="24"/>
    </w:rPr>
  </w:style>
  <w:style w:type="character" w:customStyle="1" w:styleId="60">
    <w:name w:val="Heading 8 Char"/>
    <w:link w:val="10"/>
    <w:semiHidden/>
    <w:qFormat/>
    <w:uiPriority w:val="9"/>
    <w:rPr>
      <w:rFonts w:ascii="Arial" w:hAnsi="Arial" w:eastAsia="黑体"/>
      <w:sz w:val="24"/>
    </w:rPr>
  </w:style>
  <w:style w:type="character" w:customStyle="1" w:styleId="61">
    <w:name w:val="Heading 9 Char"/>
    <w:link w:val="11"/>
    <w:semiHidden/>
    <w:qFormat/>
    <w:uiPriority w:val="9"/>
    <w:rPr>
      <w:rFonts w:ascii="Arial" w:hAnsi="Arial" w:eastAsia="黑体"/>
      <w:sz w:val="21"/>
    </w:rPr>
  </w:style>
  <w:style w:type="paragraph" w:customStyle="1" w:styleId="62">
    <w:name w:val="Footnote Block Text"/>
    <w:basedOn w:val="27"/>
    <w:next w:val="27"/>
    <w:unhideWhenUsed/>
    <w:qFormat/>
    <w:uiPriority w:val="9"/>
    <w:pPr>
      <w:spacing w:before="100" w:after="100"/>
      <w:ind w:left="480" w:right="480" w:firstLine="0"/>
    </w:pPr>
  </w:style>
  <w:style w:type="table" w:customStyle="1" w:styleId="6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4">
    <w:name w:val="Definition Term"/>
    <w:basedOn w:val="1"/>
    <w:next w:val="65"/>
    <w:qFormat/>
    <w:uiPriority w:val="0"/>
    <w:pPr>
      <w:keepNext/>
      <w:keepLines/>
      <w:spacing w:after="0"/>
    </w:pPr>
    <w:rPr>
      <w:b/>
    </w:rPr>
  </w:style>
  <w:style w:type="paragraph" w:customStyle="1" w:styleId="65">
    <w:name w:val="Definition"/>
    <w:basedOn w:val="1"/>
    <w:uiPriority w:val="0"/>
  </w:style>
  <w:style w:type="paragraph" w:customStyle="1" w:styleId="66">
    <w:name w:val="Table Caption"/>
    <w:basedOn w:val="13"/>
    <w:qFormat/>
    <w:uiPriority w:val="0"/>
    <w:pPr>
      <w:keepNext/>
    </w:pPr>
  </w:style>
  <w:style w:type="paragraph" w:customStyle="1" w:styleId="67">
    <w:name w:val="Image Caption"/>
    <w:basedOn w:val="13"/>
    <w:qFormat/>
    <w:uiPriority w:val="0"/>
  </w:style>
  <w:style w:type="paragraph" w:customStyle="1" w:styleId="68">
    <w:name w:val="Figure"/>
    <w:basedOn w:val="1"/>
    <w:uiPriority w:val="0"/>
  </w:style>
  <w:style w:type="paragraph" w:customStyle="1" w:styleId="69">
    <w:name w:val="Captioned Figure"/>
    <w:basedOn w:val="68"/>
    <w:qFormat/>
    <w:uiPriority w:val="0"/>
    <w:pPr>
      <w:keepNext/>
    </w:pPr>
  </w:style>
  <w:style w:type="character" w:customStyle="1" w:styleId="70">
    <w:name w:val="Verbatim Char"/>
    <w:basedOn w:val="71"/>
    <w:link w:val="72"/>
    <w:qFormat/>
    <w:uiPriority w:val="0"/>
  </w:style>
  <w:style w:type="character" w:customStyle="1" w:styleId="71">
    <w:name w:val="正文文本 字符1"/>
    <w:basedOn w:val="36"/>
    <w:link w:val="4"/>
    <w:qFormat/>
    <w:uiPriority w:val="0"/>
    <w:rPr>
      <w:sz w:val="21"/>
    </w:rPr>
  </w:style>
  <w:style w:type="paragraph" w:customStyle="1" w:styleId="72">
    <w:name w:val="Source Code"/>
    <w:basedOn w:val="1"/>
    <w:link w:val="70"/>
    <w:qFormat/>
    <w:uiPriority w:val="0"/>
    <w:pPr>
      <w:wordWrap w:val="0"/>
    </w:pPr>
  </w:style>
  <w:style w:type="character" w:customStyle="1" w:styleId="73">
    <w:name w:val="Section Number"/>
    <w:basedOn w:val="41"/>
    <w:qFormat/>
    <w:uiPriority w:val="0"/>
  </w:style>
  <w:style w:type="paragraph" w:customStyle="1" w:styleId="74">
    <w:name w:val="TOC Heading"/>
    <w:basedOn w:val="2"/>
    <w:next w:val="4"/>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75">
    <w:name w:val="KeywordTok"/>
    <w:basedOn w:val="70"/>
    <w:uiPriority w:val="0"/>
    <w:rPr>
      <w:b/>
      <w:color w:val="007020"/>
    </w:rPr>
  </w:style>
  <w:style w:type="character" w:customStyle="1" w:styleId="76">
    <w:name w:val="DataTypeTok"/>
    <w:basedOn w:val="70"/>
    <w:uiPriority w:val="0"/>
    <w:rPr>
      <w:color w:val="902000"/>
    </w:rPr>
  </w:style>
  <w:style w:type="character" w:customStyle="1" w:styleId="77">
    <w:name w:val="DecValTok"/>
    <w:basedOn w:val="70"/>
    <w:uiPriority w:val="0"/>
    <w:rPr>
      <w:color w:val="40A070"/>
    </w:rPr>
  </w:style>
  <w:style w:type="character" w:customStyle="1" w:styleId="78">
    <w:name w:val="BaseNTok"/>
    <w:basedOn w:val="70"/>
    <w:uiPriority w:val="0"/>
    <w:rPr>
      <w:color w:val="40A070"/>
    </w:rPr>
  </w:style>
  <w:style w:type="character" w:customStyle="1" w:styleId="79">
    <w:name w:val="FloatTok"/>
    <w:basedOn w:val="70"/>
    <w:uiPriority w:val="0"/>
    <w:rPr>
      <w:color w:val="40A070"/>
    </w:rPr>
  </w:style>
  <w:style w:type="character" w:customStyle="1" w:styleId="80">
    <w:name w:val="ConstantTok"/>
    <w:basedOn w:val="70"/>
    <w:uiPriority w:val="0"/>
    <w:rPr>
      <w:color w:val="880000"/>
    </w:rPr>
  </w:style>
  <w:style w:type="character" w:customStyle="1" w:styleId="81">
    <w:name w:val="CharTok"/>
    <w:basedOn w:val="70"/>
    <w:qFormat/>
    <w:uiPriority w:val="0"/>
    <w:rPr>
      <w:color w:val="4070A0"/>
    </w:rPr>
  </w:style>
  <w:style w:type="character" w:customStyle="1" w:styleId="82">
    <w:name w:val="SpecialCharTok"/>
    <w:basedOn w:val="70"/>
    <w:uiPriority w:val="0"/>
    <w:rPr>
      <w:color w:val="4070A0"/>
    </w:rPr>
  </w:style>
  <w:style w:type="character" w:customStyle="1" w:styleId="83">
    <w:name w:val="StringTok"/>
    <w:basedOn w:val="70"/>
    <w:uiPriority w:val="0"/>
    <w:rPr>
      <w:color w:val="4070A0"/>
    </w:rPr>
  </w:style>
  <w:style w:type="character" w:customStyle="1" w:styleId="84">
    <w:name w:val="VerbatimStringTok"/>
    <w:basedOn w:val="70"/>
    <w:uiPriority w:val="0"/>
    <w:rPr>
      <w:color w:val="4070A0"/>
    </w:rPr>
  </w:style>
  <w:style w:type="character" w:customStyle="1" w:styleId="85">
    <w:name w:val="SpecialStringTok"/>
    <w:basedOn w:val="70"/>
    <w:uiPriority w:val="0"/>
    <w:rPr>
      <w:color w:val="BB6688"/>
    </w:rPr>
  </w:style>
  <w:style w:type="character" w:customStyle="1" w:styleId="86">
    <w:name w:val="ImportTok"/>
    <w:basedOn w:val="70"/>
    <w:uiPriority w:val="0"/>
    <w:rPr>
      <w:b/>
      <w:color w:val="008000"/>
    </w:rPr>
  </w:style>
  <w:style w:type="character" w:customStyle="1" w:styleId="87">
    <w:name w:val="CommentTok"/>
    <w:basedOn w:val="70"/>
    <w:uiPriority w:val="0"/>
    <w:rPr>
      <w:i/>
      <w:color w:val="60A0B0"/>
    </w:rPr>
  </w:style>
  <w:style w:type="character" w:customStyle="1" w:styleId="88">
    <w:name w:val="DocumentationTok"/>
    <w:basedOn w:val="70"/>
    <w:qFormat/>
    <w:uiPriority w:val="0"/>
    <w:rPr>
      <w:i/>
      <w:color w:val="BA2121"/>
    </w:rPr>
  </w:style>
  <w:style w:type="character" w:customStyle="1" w:styleId="89">
    <w:name w:val="AnnotationTok"/>
    <w:basedOn w:val="70"/>
    <w:uiPriority w:val="0"/>
    <w:rPr>
      <w:b/>
      <w:i/>
      <w:color w:val="60A0B0"/>
    </w:rPr>
  </w:style>
  <w:style w:type="character" w:customStyle="1" w:styleId="90">
    <w:name w:val="CommentVarTok"/>
    <w:basedOn w:val="70"/>
    <w:qFormat/>
    <w:uiPriority w:val="0"/>
    <w:rPr>
      <w:b/>
      <w:i/>
      <w:color w:val="60A0B0"/>
    </w:rPr>
  </w:style>
  <w:style w:type="character" w:customStyle="1" w:styleId="91">
    <w:name w:val="OtherTok"/>
    <w:basedOn w:val="70"/>
    <w:uiPriority w:val="0"/>
    <w:rPr>
      <w:color w:val="007020"/>
    </w:rPr>
  </w:style>
  <w:style w:type="character" w:customStyle="1" w:styleId="92">
    <w:name w:val="FunctionTok"/>
    <w:basedOn w:val="70"/>
    <w:uiPriority w:val="0"/>
    <w:rPr>
      <w:color w:val="06287E"/>
    </w:rPr>
  </w:style>
  <w:style w:type="character" w:customStyle="1" w:styleId="93">
    <w:name w:val="VariableTok"/>
    <w:basedOn w:val="70"/>
    <w:qFormat/>
    <w:uiPriority w:val="0"/>
    <w:rPr>
      <w:color w:val="19177C"/>
    </w:rPr>
  </w:style>
  <w:style w:type="character" w:customStyle="1" w:styleId="94">
    <w:name w:val="ControlFlowTok"/>
    <w:basedOn w:val="70"/>
    <w:qFormat/>
    <w:uiPriority w:val="0"/>
    <w:rPr>
      <w:b/>
      <w:color w:val="007020"/>
    </w:rPr>
  </w:style>
  <w:style w:type="character" w:customStyle="1" w:styleId="95">
    <w:name w:val="OperatorTok"/>
    <w:basedOn w:val="70"/>
    <w:qFormat/>
    <w:uiPriority w:val="0"/>
    <w:rPr>
      <w:color w:val="666666"/>
    </w:rPr>
  </w:style>
  <w:style w:type="character" w:customStyle="1" w:styleId="96">
    <w:name w:val="BuiltInTok"/>
    <w:basedOn w:val="70"/>
    <w:qFormat/>
    <w:uiPriority w:val="0"/>
    <w:rPr>
      <w:color w:val="008000"/>
    </w:rPr>
  </w:style>
  <w:style w:type="character" w:customStyle="1" w:styleId="97">
    <w:name w:val="ExtensionTok"/>
    <w:basedOn w:val="70"/>
    <w:qFormat/>
    <w:uiPriority w:val="0"/>
  </w:style>
  <w:style w:type="character" w:customStyle="1" w:styleId="98">
    <w:name w:val="PreprocessorTok"/>
    <w:basedOn w:val="70"/>
    <w:qFormat/>
    <w:uiPriority w:val="0"/>
    <w:rPr>
      <w:color w:val="BC7A00"/>
    </w:rPr>
  </w:style>
  <w:style w:type="character" w:customStyle="1" w:styleId="99">
    <w:name w:val="AttributeTok"/>
    <w:basedOn w:val="70"/>
    <w:qFormat/>
    <w:uiPriority w:val="0"/>
    <w:rPr>
      <w:color w:val="7D9029"/>
    </w:rPr>
  </w:style>
  <w:style w:type="character" w:customStyle="1" w:styleId="100">
    <w:name w:val="RegionMarkerTok"/>
    <w:basedOn w:val="70"/>
    <w:qFormat/>
    <w:uiPriority w:val="0"/>
  </w:style>
  <w:style w:type="character" w:customStyle="1" w:styleId="101">
    <w:name w:val="InformationTok"/>
    <w:basedOn w:val="70"/>
    <w:qFormat/>
    <w:uiPriority w:val="0"/>
    <w:rPr>
      <w:b/>
      <w:i/>
      <w:color w:val="60A0B0"/>
    </w:rPr>
  </w:style>
  <w:style w:type="character" w:customStyle="1" w:styleId="102">
    <w:name w:val="WarningTok"/>
    <w:basedOn w:val="70"/>
    <w:qFormat/>
    <w:uiPriority w:val="0"/>
    <w:rPr>
      <w:b/>
      <w:i/>
      <w:color w:val="60A0B0"/>
    </w:rPr>
  </w:style>
  <w:style w:type="character" w:customStyle="1" w:styleId="103">
    <w:name w:val="AlertTok"/>
    <w:basedOn w:val="70"/>
    <w:qFormat/>
    <w:uiPriority w:val="0"/>
    <w:rPr>
      <w:b/>
      <w:color w:val="FF0000"/>
    </w:rPr>
  </w:style>
  <w:style w:type="character" w:customStyle="1" w:styleId="104">
    <w:name w:val="ErrorTok"/>
    <w:basedOn w:val="70"/>
    <w:qFormat/>
    <w:uiPriority w:val="0"/>
    <w:rPr>
      <w:b/>
      <w:color w:val="FF0000"/>
    </w:rPr>
  </w:style>
  <w:style w:type="character" w:customStyle="1" w:styleId="105">
    <w:name w:val="NormalTok"/>
    <w:basedOn w:val="70"/>
    <w:qFormat/>
    <w:uiPriority w:val="0"/>
  </w:style>
  <w:style w:type="character" w:customStyle="1" w:styleId="106">
    <w:name w:val="正文文本 字符"/>
    <w:basedOn w:val="36"/>
    <w:qFormat/>
    <w:uiPriority w:val="0"/>
    <w:rPr>
      <w:rFonts w:eastAsia="宋体"/>
    </w:rPr>
  </w:style>
  <w:style w:type="paragraph" w:customStyle="1" w:styleId="107">
    <w:name w:val="表格索引"/>
    <w:basedOn w:val="1"/>
    <w:qFormat/>
    <w:uiPriority w:val="0"/>
    <w:pPr>
      <w:spacing w:line="240" w:lineRule="auto"/>
      <w:ind w:firstLine="0" w:firstLineChars="0"/>
      <w:jc w:val="center"/>
    </w:pPr>
  </w:style>
  <w:style w:type="paragraph" w:customStyle="1" w:styleId="108">
    <w:name w:val="WPSOffice手动目录 1"/>
    <w:qFormat/>
    <w:uiPriority w:val="0"/>
    <w:rPr>
      <w:rFonts w:ascii="Times New Roman" w:hAnsi="Times New Roman" w:eastAsia="宋体" w:cs="Times New Roman"/>
      <w:lang w:val="en-US" w:eastAsia="zh-CN" w:bidi="ar-SA"/>
    </w:rPr>
  </w:style>
  <w:style w:type="paragraph" w:customStyle="1" w:styleId="10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1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11">
    <w:name w:val="TOC 标题1"/>
    <w:basedOn w:val="3"/>
    <w:next w:val="1"/>
    <w:unhideWhenUsed/>
    <w:qFormat/>
    <w:uiPriority w:val="39"/>
    <w:pPr>
      <w:outlineLvl w:val="9"/>
    </w:pPr>
  </w:style>
  <w:style w:type="character" w:customStyle="1" w:styleId="112">
    <w:name w:val="脚注文本 字符"/>
    <w:basedOn w:val="36"/>
    <w:link w:val="27"/>
    <w:qFormat/>
    <w:uiPriority w:val="0"/>
    <w:rPr>
      <w:sz w:val="18"/>
      <w:szCs w:val="18"/>
    </w:rPr>
  </w:style>
  <w:style w:type="paragraph" w:styleId="113">
    <w:name w:val="List Paragraph"/>
    <w:basedOn w:val="1"/>
    <w:unhideWhenUsed/>
    <w:qFormat/>
    <w:uiPriority w:val="99"/>
  </w:style>
  <w:style w:type="table" w:customStyle="1" w:styleId="114">
    <w:name w:val="无格式表格 31"/>
    <w:basedOn w:val="3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15">
    <w:name w:val="网格表 4 - 着色 61"/>
    <w:basedOn w:val="34"/>
    <w:qFormat/>
    <w:uiPriority w:val="49"/>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color w:val="FFFFFF" w:themeColor="background1"/>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116">
    <w:name w:val="网格表 5 深色1"/>
    <w:basedOn w:val="3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117">
    <w:name w:val="网格表 5 深色 - 着色 61"/>
    <w:basedOn w:val="3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cPr>
        <w:shd w:val="clear" w:color="auto" w:fill="B3E5A1" w:themeFill="accent6" w:themeFillTint="66"/>
      </w:tcPr>
    </w:tblStylePr>
    <w:tblStylePr w:type="band1Horz">
      <w:tcPr>
        <w:shd w:val="clear" w:color="auto" w:fill="B3E5A1" w:themeFill="accent6" w:themeFillTint="66"/>
      </w:tcPr>
    </w:tblStylePr>
  </w:style>
  <w:style w:type="table" w:customStyle="1" w:styleId="118">
    <w:name w:val="网格表 5 深色 - 着色 11"/>
    <w:basedOn w:val="3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119">
    <w:name w:val="网格表 4 - 着色 11"/>
    <w:basedOn w:val="34"/>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table" w:customStyle="1" w:styleId="120">
    <w:name w:val="网格表 1 浅色1"/>
    <w:basedOn w:val="34"/>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21">
    <w:name w:val="网格表 21"/>
    <w:basedOn w:val="34"/>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22">
    <w:name w:val="网格表 4 - 着色 21"/>
    <w:basedOn w:val="34"/>
    <w:qFormat/>
    <w:uiPriority w:val="49"/>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cPr>
        <w:tcBorders>
          <w:top w:val="double" w:color="E97132" w:themeColor="accent2"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123">
    <w:name w:val="网格表 4 - 着色 41"/>
    <w:basedOn w:val="34"/>
    <w:qFormat/>
    <w:uiPriority w:val="49"/>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color w:val="FFFFFF" w:themeColor="background1"/>
      </w:r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cPr>
        <w:tcBorders>
          <w:top w:val="double" w:color="0F9ED5" w:themeColor="accent4"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 w:type="table" w:customStyle="1" w:styleId="124">
    <w:name w:val="网格表 41"/>
    <w:basedOn w:val="34"/>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styleId="125">
    <w:name w:val="Placeholder Text"/>
    <w:basedOn w:val="36"/>
    <w:unhideWhenUsed/>
    <w:qFormat/>
    <w:uiPriority w:val="99"/>
    <w:rPr>
      <w:color w:val="666666"/>
    </w:rPr>
  </w:style>
  <w:style w:type="character" w:customStyle="1" w:styleId="126">
    <w:name w:val="标题 5 字符"/>
    <w:link w:val="7"/>
    <w:qFormat/>
    <w:uiPriority w:val="0"/>
    <w:rPr>
      <w:rFonts w:cs="等线"/>
      <w:b/>
      <w:bCs/>
      <w:szCs w:val="20"/>
    </w:rPr>
  </w:style>
  <w:style w:type="table" w:customStyle="1" w:styleId="127">
    <w:name w:val="无格式表格 32"/>
    <w:basedOn w:val="3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128">
    <w:name w:val="使用授权说明标题"/>
    <w:basedOn w:val="26"/>
    <w:next w:val="1"/>
    <w:qFormat/>
    <w:uiPriority w:val="34"/>
    <w:rPr>
      <w:sz w:val="44"/>
      <w:szCs w:val="44"/>
    </w:rPr>
  </w:style>
  <w:style w:type="paragraph" w:customStyle="1" w:styleId="129">
    <w:name w:val="书脊"/>
    <w:qFormat/>
    <w:uiPriority w:val="98"/>
    <w:pPr>
      <w:widowControl w:val="0"/>
      <w:textAlignment w:val="center"/>
    </w:pPr>
    <w:rPr>
      <w:rFonts w:ascii="仿宋" w:hAnsi="仿宋" w:eastAsia="仿宋" w:cstheme="minorBidi"/>
      <w:sz w:val="30"/>
      <w:szCs w:val="24"/>
      <w:lang w:val="en-US" w:eastAsia="zh-CN" w:bidi="ar-SA"/>
    </w:rPr>
  </w:style>
  <w:style w:type="paragraph" w:customStyle="1" w:styleId="130">
    <w:name w:val="主要符号表"/>
    <w:basedOn w:val="1"/>
    <w:qFormat/>
    <w:uiPriority w:val="19"/>
    <w:pPr>
      <w:tabs>
        <w:tab w:val="left" w:pos="1920"/>
      </w:tabs>
      <w:ind w:left="800" w:hanging="800" w:hangingChars="800"/>
    </w:pPr>
  </w:style>
  <w:style w:type="character" w:customStyle="1" w:styleId="131">
    <w:name w:val="TOC 5 字符"/>
    <w:link w:val="15"/>
    <w:qFormat/>
    <w:uiPriority w:val="39"/>
  </w:style>
  <w:style w:type="paragraph" w:customStyle="1" w:styleId="132">
    <w:name w:val="图片索引"/>
    <w:basedOn w:val="1"/>
    <w:link w:val="139"/>
    <w:qFormat/>
    <w:uiPriority w:val="0"/>
    <w:pPr>
      <w:spacing w:line="240" w:lineRule="auto"/>
      <w:ind w:firstLine="0" w:firstLineChars="0"/>
      <w:jc w:val="center"/>
    </w:pPr>
  </w:style>
  <w:style w:type="paragraph" w:customStyle="1" w:styleId="133">
    <w:name w:val="标题1"/>
    <w:basedOn w:val="25"/>
    <w:qFormat/>
    <w:uiPriority w:val="0"/>
    <w:pPr>
      <w:adjustRightInd w:val="0"/>
      <w:spacing w:after="360" w:line="420" w:lineRule="exact"/>
      <w:textAlignment w:val="baseline"/>
      <w:outlineLvl w:val="9"/>
    </w:pPr>
    <w:rPr>
      <w:rFonts w:cs="Times New Roman"/>
      <w:kern w:val="0"/>
      <w:szCs w:val="20"/>
    </w:rPr>
  </w:style>
  <w:style w:type="paragraph" w:customStyle="1" w:styleId="134">
    <w:name w:val="段落"/>
    <w:basedOn w:val="1"/>
    <w:qFormat/>
    <w:uiPriority w:val="0"/>
    <w:pPr>
      <w:spacing w:before="100" w:line="420" w:lineRule="exact"/>
      <w:ind w:firstLine="480"/>
    </w:pPr>
  </w:style>
  <w:style w:type="paragraph" w:customStyle="1" w:styleId="135">
    <w:name w:val="标题2"/>
    <w:basedOn w:val="25"/>
    <w:qFormat/>
    <w:uiPriority w:val="0"/>
    <w:pPr>
      <w:keepNext w:val="0"/>
      <w:keepLines w:val="0"/>
      <w:pageBreakBefore w:val="0"/>
      <w:adjustRightInd w:val="0"/>
      <w:spacing w:before="240" w:after="360" w:line="420" w:lineRule="exact"/>
      <w:ind w:firstLine="0" w:firstLineChars="0"/>
      <w:textAlignment w:val="baseline"/>
      <w:outlineLvl w:val="9"/>
    </w:pPr>
    <w:rPr>
      <w:rFonts w:ascii="Arial" w:hAnsi="Arial" w:eastAsia="宋体" w:cs="Times New Roman"/>
      <w:kern w:val="0"/>
      <w:szCs w:val="30"/>
    </w:rPr>
  </w:style>
  <w:style w:type="character" w:customStyle="1" w:styleId="136">
    <w:name w:val="页眉 字符"/>
    <w:basedOn w:val="36"/>
    <w:link w:val="21"/>
    <w:qFormat/>
    <w:uiPriority w:val="99"/>
    <w:rPr>
      <w:sz w:val="18"/>
    </w:rPr>
  </w:style>
  <w:style w:type="character" w:customStyle="1" w:styleId="137">
    <w:name w:val="标题 1 Char"/>
    <w:link w:val="2"/>
    <w:qFormat/>
    <w:uiPriority w:val="0"/>
    <w:rPr>
      <w:rFonts w:ascii="Arial" w:eastAsia="黑体"/>
      <w:kern w:val="2"/>
      <w:sz w:val="52"/>
    </w:rPr>
  </w:style>
  <w:style w:type="character" w:customStyle="1" w:styleId="138">
    <w:name w:val="标题 2 Char"/>
    <w:link w:val="3"/>
    <w:qFormat/>
    <w:uiPriority w:val="0"/>
    <w:rPr>
      <w:rFonts w:ascii="黑体" w:hAnsi="黑体" w:eastAsia="黑体"/>
      <w:sz w:val="32"/>
      <w:szCs w:val="32"/>
    </w:rPr>
  </w:style>
  <w:style w:type="character" w:customStyle="1" w:styleId="139">
    <w:name w:val="图片索引 Char"/>
    <w:link w:val="13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2902</Words>
  <Characters>3623</Characters>
  <Lines>12</Lines>
  <Paragraphs>8</Paragraphs>
  <TotalTime>28</TotalTime>
  <ScaleCrop>false</ScaleCrop>
  <LinksUpToDate>false</LinksUpToDate>
  <CharactersWithSpaces>3675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2026-08-07T07:38:00Z</dcterms:created>
  <dc:creator>邵东一中_张锦程</dc:creator>
  <cp:lastModifiedBy>邵东一中_张锦程</cp:lastModifiedBy>
  <dcterms:modified xsi:type="dcterms:W3CDTF">2026-08-12T15:04:17Z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eyJoZGlkIjoiYjc4MDY5NTA1NDQyYTcxYmE5NDY3MmQ3ZWM0NjI3YjkiLCJ1c2VySWQiOiIzMDI2MzExNDgifQ==</vt:lpwstr>
  </property>
  <property fmtid="{D5CDD505-2E9C-101B-9397-08002B2CF9AE}" pid="3" name="KSOProductBuildVer">
    <vt:lpwstr>2052-12.1.0.23542</vt:lpwstr>
  </property>
  <property fmtid="{D5CDD505-2E9C-101B-9397-08002B2CF9AE}" pid="4" name="ICV">
    <vt:lpwstr>0DCF93498A4F477BA397AF20CFB89BE1_12</vt:lpwstr>
  </property>
</Properties>
</file>