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4.png" ContentType="image/png"/>
  <Override PartName="/word/media/rId48.png" ContentType="image/png"/>
  <Override PartName="/word/media/rId52.png" ContentType="image/png"/>
  <Override PartName="/word/media/rId59.png" ContentType="image/png"/>
  <Override PartName="/word/media/rId6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7"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589401"/>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589401"/>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上述温轴采用固定势垒高度的简化，即</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只随分母kT缩放；把第四章建立的磁性标度链引入后，势垒本身也随温度下降</w:t>
      </w:r>
      <w:r>
        <w:t xml:space="preserve"> </w:t>
      </w:r>
      <w:r>
        <w:rPr>
          <w:rFonts w:hint="eastAsia"/>
        </w:rPr>
        <w:t xml:space="preserve">(界面项与形状项的近补偿之差被温度放大)，修正后的</w:t>
      </w:r>
      <m:oMath>
        <m:r>
          <m:t>τ</m:t>
        </m:r>
        <m:r>
          <m:rPr>
            <m:sty m:val="p"/>
          </m:rPr>
          <m:t>(</m:t>
        </m:r>
        <m:r>
          <m:t>T</m:t>
        </m:r>
        <m:r>
          <m:rPr>
            <m:sty m:val="p"/>
          </m:rPr>
          <m:t>)</m:t>
        </m:r>
      </m:oMath>
      <w:r>
        <w:rPr>
          <w:rFonts w:hint="eastAsia"/>
        </w:rPr>
        <w:t xml:space="preserve">在高温端明显更短，400</w:t>
      </w:r>
      <w:r>
        <w:t xml:space="preserve"> </w:t>
      </w:r>
      <w:r>
        <w:rPr>
          <w:rFonts w:hint="eastAsia"/>
        </w:rPr>
        <w:t xml:space="preserve">K处约为简化口径的一半</w:t>
      </w:r>
      <w:r>
        <w:rPr>
          <w:rStyle w:val="FootnoteReference"/>
        </w:rPr>
        <w:footnoteReference w:id="43"/>
      </w:r>
      <w:r>
        <w:rPr>
          <w:rFonts w:hint="eastAsia"/>
        </w:rPr>
        <w:t xml:space="preserve">。热时钟配方的形式不受影响：系统时钟跟随</w:t>
      </w:r>
      <m:oMath>
        <m:r>
          <m:t>τ</m:t>
        </m:r>
        <m:r>
          <m:rPr>
            <m:sty m:val="p"/>
          </m:rPr>
          <m:t>(</m:t>
        </m:r>
        <m:r>
          <m:t>T</m:t>
        </m:r>
        <m:r>
          <m:rPr>
            <m:sty m:val="p"/>
          </m:rPr>
          <m:t>)</m:t>
        </m:r>
      </m:oMath>
      <w:r>
        <w:rPr>
          <w:rFonts w:hint="eastAsia"/>
        </w:rPr>
        <w:t xml:space="preserve">即可，与其取何口径无关；但按温反推势垒或设定重标定周期时应使用修正温轴。修正轴与第四章概率二值网络的部署温窗共享同一标度链，两种工作模式的温度行为由此统一在同一温轴上</w:t>
      </w:r>
      <w:r>
        <w:t xml:space="preserve"> </w:t>
      </w:r>
      <w:r>
        <w:rPr>
          <w:rFonts w:hint="eastAsia"/>
        </w:rPr>
        <w:t xml:space="preserve">(第四章图4.24)。</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5" name="Picture"/>
            <a:graphic>
              <a:graphicData uri="http://schemas.openxmlformats.org/drawingml/2006/picture">
                <pic:pic>
                  <pic:nvPicPr>
                    <pic:cNvPr descr="figs/Chapter05_local_05.png" id="46" name="Picture"/>
                    <pic:cNvPicPr>
                      <a:picLocks noChangeArrowheads="1" noChangeAspect="1"/>
                    </pic:cNvPicPr>
                  </pic:nvPicPr>
                  <pic:blipFill>
                    <a:blip r:embed="rId44"/>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7"/>
    <w:bookmarkStart w:id="68"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25031"/>
            <wp:effectExtent b="0" l="0" r="0" t="0"/>
            <wp:docPr descr="" title="" id="49" name="Picture"/>
            <a:graphic>
              <a:graphicData uri="http://schemas.openxmlformats.org/drawingml/2006/picture">
                <pic:pic>
                  <pic:nvPicPr>
                    <pic:cNvPr descr="figs/Chapter05_local_06.png" id="50" name="Picture"/>
                    <pic:cNvPicPr>
                      <a:picLocks noChangeArrowheads="1" noChangeAspect="1"/>
                    </pic:cNvPicPr>
                  </pic:nvPicPr>
                  <pic:blipFill>
                    <a:blip r:embed="rId48"/>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1"/>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3" name="Picture"/>
            <a:graphic>
              <a:graphicData uri="http://schemas.openxmlformats.org/drawingml/2006/picture">
                <pic:pic>
                  <pic:nvPicPr>
                    <pic:cNvPr descr="figs/Chapter05_local_07.png" id="54" name="Picture"/>
                    <pic:cNvPicPr>
                      <a:picLocks noChangeArrowheads="1" noChangeAspect="1"/>
                    </pic:cNvPicPr>
                  </pic:nvPicPr>
                  <pic:blipFill>
                    <a:blip r:embed="rId52"/>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55"/>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6"/>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(图5.9)；但比较器项随位数线性增长，分辨率的能量惩罚温和。近期工作已论证以器件系综的集合平均作读出可有效抑制物理储备池的输出噪声</w:t>
      </w:r>
      <w:r>
        <w:rPr>
          <w:rStyle w:val="FootnoteReference"/>
        </w:rPr>
        <w:footnoteReference w:id="57"/>
      </w:r>
      <w:r>
        <w:rPr>
          <w:rFonts w:hint="eastAsia"/>
        </w:rPr>
        <w:t xml:space="preserve">；本章在分辨率-能量维度上给出互补结论——低至中等分辨读出即足，并以记忆容量每焦耳为目标、把节点数纳入联合权衡，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60" name="Picture"/>
            <a:graphic>
              <a:graphicData uri="http://schemas.openxmlformats.org/drawingml/2006/picture">
                <pic:pic>
                  <pic:nvPicPr>
                    <pic:cNvPr descr="figs/Chapter05_local_08.png" id="61" name="Picture"/>
                    <pic:cNvPicPr>
                      <a:picLocks noChangeArrowheads="1" noChangeAspect="1"/>
                    </pic:cNvPicPr>
                  </pic:nvPicPr>
                  <pic:blipFill>
                    <a:blip r:embed="rId59"/>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63" name="Picture"/>
            <a:graphic>
              <a:graphicData uri="http://schemas.openxmlformats.org/drawingml/2006/picture">
                <pic:pic>
                  <pic:nvPicPr>
                    <pic:cNvPr descr="figs/Chapter05_local_09.png" id="64" name="Picture"/>
                    <pic:cNvPicPr>
                      <a:picLocks noChangeArrowheads="1" noChangeAspect="1"/>
                    </pic:cNvPicPr>
                  </pic:nvPicPr>
                  <pic:blipFill>
                    <a:blip r:embed="rId62"/>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(比较器即使低分辨也占近九成)，但比较器项随位数线性增长，故分辨率的能量惩罚温和——支撑以列共享摊销比较器、而非降低分辨率作为读出节能的着力点。(b)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，电容DAC开关能与已提取比较器能分项堆叠)，由细到粗的箭头由较差方案指向更优方案</w:t>
      </w:r>
      <w:r>
        <w:t xml:space="preserve"> </w:t>
      </w:r>
      <w:r>
        <w:rPr>
          <w:rFonts w:hint="eastAsia"/>
        </w:rPr>
        <w:t xml:space="preserve">(总能量低39%)：monotonic把电容DAC开关能压低约4.3倍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fJ)，而按位线性的比较器项主导总能量，印证读出节能的着力点在于跨列摊销比较器而非削减位数。各备选方案与同流程分析见附录D。</w:t>
      </w:r>
    </w:p>
    <w:p>
      <w:pPr>
        <w:pStyle w:val="BodyText"/>
      </w:pPr>
      <w:r>
        <w:rPr>
          <w:rFonts w:hint="eastAsia"/>
        </w:rPr>
        <w:t xml:space="preserve">同一阵列的PBNN模式以1比特感测加popcount计数器读列，一个自然的设想是储备池模式复用这套计数外围、省去逐次逼近转换器；物理系综的同列对比</w:t>
      </w:r>
      <w:r>
        <w:t xml:space="preserve"> </w:t>
      </w:r>
      <w:r>
        <w:rPr>
          <w:rFonts w:hint="eastAsia"/>
        </w:rPr>
        <w:t xml:space="preserve">(图5.11)</w:t>
      </w:r>
      <w:r>
        <w:t xml:space="preserve"> </w:t>
      </w:r>
      <w:r>
        <w:rPr>
          <w:rFonts w:hint="eastAsia"/>
        </w:rPr>
        <w:t xml:space="preserve">排除了这条路线。积分窗与弛豫时间之比决定窗内时间平均的价值：步长25</w:t>
      </w:r>
      <w:r>
        <w:t xml:space="preserve"> </w:t>
      </w:r>
      <w:r>
        <w:rPr>
          <w:rFonts w:hint="eastAsia"/>
        </w:rPr>
        <w:t xml:space="preserve">ns、弛豫时间数十纳秒时每窗仅约1.2至1.6个独立样本，分辨率只能来自系综规模，每增加一个有效比特需四倍器件、也需四倍感测能量</w:t>
      </w:r>
      <w:r>
        <w:t xml:space="preserve"> (</w:t>
      </w:r>
      <m:oMath>
        <m:sSub>
          <m:e>
            <m:r>
              <m:t>b</m:t>
            </m:r>
          </m:e>
          <m:sub>
            <m:r>
              <m:rPr>
                <m:sty m:val="p"/>
              </m:rPr>
              <m:t>e</m:t>
            </m:r>
            <m:r>
              <m:rPr>
                <m:sty m:val="p"/>
              </m:rPr>
              <m:t>f</m:t>
            </m:r>
            <m:r>
              <m:rPr>
                <m:sty m:val="p"/>
              </m:rPr>
              <m:t>f</m:t>
            </m:r>
          </m:sub>
        </m:sSub>
        <m:r>
          <m:rPr>
            <m:sty m:val="p"/>
          </m:rPr>
          <m:t>=</m:t>
        </m:r>
        <m:f>
          <m:fPr>
            <m:type m:val="lin"/>
          </m:fPr>
          <m:num>
            <m:r>
              <m:t>1</m:t>
            </m:r>
          </m:num>
          <m:den>
            <m:r>
              <m:t>2</m:t>
            </m:r>
          </m:den>
        </m:f>
        <m:sSub>
          <m:e>
            <m:r>
              <m:rPr>
                <m:sty m:val="p"/>
              </m:rPr>
              <m:t>log</m:t>
            </m:r>
          </m:e>
          <m:sub>
            <m:r>
              <m:t>2</m:t>
            </m:r>
          </m:sub>
        </m:sSub>
        <m:r>
          <m:t>E</m:t>
        </m:r>
      </m:oMath>
      <w:r>
        <w:rPr>
          <w:rFonts w:hint="eastAsia"/>
        </w:rPr>
        <w:t xml:space="preserve">)，而逐次逼近的代价只随位数线性增长。在标准系综规模96处，单外围计数系统</w:t>
      </w:r>
      <w:r>
        <w:t xml:space="preserve"> </w:t>
      </w:r>
      <w:r>
        <w:rPr>
          <w:rFonts w:hint="eastAsia"/>
        </w:rPr>
        <w:t xml:space="preserve">(递归与读出同用一次popcount选通)</w:t>
      </w:r>
      <w:r>
        <w:t xml:space="preserve"> </w:t>
      </w:r>
      <w:r>
        <w:rPr>
          <w:rFonts w:hint="eastAsia"/>
        </w:rPr>
        <w:t xml:space="preserve">的记忆容量为1.59、低于散粒噪声匹配的逐次逼近读出的2.33，读出能量却高约24倍</w:t>
      </w:r>
      <w:r>
        <w:t xml:space="preserve"> </w:t>
      </w:r>
      <w:r>
        <w:rPr>
          <w:rFonts w:hint="eastAsia"/>
        </w:rPr>
        <w:t xml:space="preserve">(按平均递增计费约20倍)；单次选通还放弃了模拟积分器无代价收集的窗内积分增益。计数读出因此仅在不允许任何模数转换器、面积最小的单外围约束下才值得采用；只要列共享逐次逼近可用，它就被排除。该对比同时给出一个校准侧发现：同一工作点的均值场记忆容量约4.9是无穷系综上限，物理系综的记忆容量由系综噪声经读出通道限制</w:t>
      </w:r>
      <w:r>
        <w:t xml:space="preserve"> </w:t>
      </w:r>
      <w:r>
        <w:rPr>
          <w:rFonts w:hint="eastAsia"/>
        </w:rPr>
        <w:t xml:space="preserve">(递归通道的噪声贡献经消融确认在估计噪声内)，此前基于无噪声均值场信号的等能量前沿因而应读作上限而非可达值。</w:t>
      </w:r>
    </w:p>
    <w:p>
      <w:pPr>
        <w:pStyle w:val="BodyText"/>
      </w:pPr>
      <w:r>
        <w:drawing>
          <wp:inline>
            <wp:extent cx="5334000" cy="2141446"/>
            <wp:effectExtent b="0" l="0" r="0" t="0"/>
            <wp:docPr descr="" title="" id="66" name="Picture"/>
            <a:graphic>
              <a:graphicData uri="http://schemas.openxmlformats.org/drawingml/2006/picture">
                <pic:pic>
                  <pic:nvPicPr>
                    <pic:cNvPr descr="figs/Chapter05_local_11.png" id="67" name="Picture"/>
                    <pic:cNvPicPr>
                      <a:picLocks noChangeArrowheads="1" noChangeAspect="1"/>
                    </pic:cNvPicPr>
                  </pic:nvPicPr>
                  <pic:blipFill>
                    <a:blip r:embed="rId65"/>
                    <a:stretch>
                      <a:fillRect/>
                    </a:stretch>
                  </pic:blipFill>
                  <pic:spPr bwMode="auto">
                    <a:xfrm>
                      <a:off x="0" y="0"/>
                      <a:ext cx="5334000" cy="2141446"/>
                    </a:xfrm>
                    <a:prstGeom prst="rect">
                      <a:avLst/>
                    </a:prstGeom>
                    <a:noFill/>
                    <a:ln w="9525">
                      <a:noFill/>
                      <a:headEnd/>
                      <a:tailEnd/>
                    </a:ln>
                  </pic:spPr>
                </pic:pic>
              </a:graphicData>
            </a:graphic>
          </wp:inline>
        </w:drawing>
      </w:r>
    </w:p>
    <w:p>
      <w:pPr>
        <w:pStyle w:val="BodyText"/>
      </w:pPr>
      <w:r>
        <w:rPr>
          <w:rFonts w:hint="eastAsia"/>
          <w:b/>
          <w:bCs/>
        </w:rPr>
        <w:t xml:space="preserve">图5.11</w:t>
      </w:r>
      <w:r>
        <w:t xml:space="preserve"> </w:t>
      </w:r>
      <w:r>
        <w:rPr>
          <w:rFonts w:hint="eastAsia"/>
        </w:rPr>
        <w:t xml:space="preserve">计数式读出与逐次逼近读出的物理系综同列对比。(a)</w:t>
      </w:r>
      <w:r>
        <w:t xml:space="preserve"> </w:t>
      </w:r>
      <w:r>
        <w:rPr>
          <w:rFonts w:hint="eastAsia"/>
        </w:rPr>
        <w:t xml:space="preserve">三种读出外围的记忆容量随每节点系综规模</w:t>
      </w:r>
      <w:r>
        <w:t xml:space="preserve"> </w:t>
      </w:r>
      <w:r>
        <w:rPr>
          <w:rFonts w:hint="eastAsia"/>
        </w:rPr>
        <w:t xml:space="preserve">(误差棒为3个储备池种子的半极差)：单外围计数</w:t>
      </w:r>
      <w:r>
        <w:t xml:space="preserve"> </w:t>
      </w:r>
      <w:r>
        <w:rPr>
          <w:rFonts w:hint="eastAsia"/>
        </w:rPr>
        <w:t xml:space="preserve">(红)</w:t>
      </w:r>
      <w:r>
        <w:t xml:space="preserve"> </w:t>
      </w:r>
      <w:r>
        <w:rPr>
          <w:rFonts w:hint="eastAsia"/>
        </w:rPr>
        <w:t xml:space="preserve">系统性低于积分计数器</w:t>
      </w:r>
      <w:r>
        <w:t xml:space="preserve"> </w:t>
      </w:r>
      <w:r>
        <w:rPr>
          <w:rFonts w:hint="eastAsia"/>
        </w:rPr>
        <w:t xml:space="preserve">(橙)</w:t>
      </w:r>
      <w:r>
        <w:t xml:space="preserve"> </w:t>
      </w:r>
      <w:r>
        <w:rPr>
          <w:rFonts w:hint="eastAsia"/>
        </w:rPr>
        <w:t xml:space="preserve">与散粒噪声匹配的逐次逼近</w:t>
      </w:r>
      <w:r>
        <w:t xml:space="preserve"> </w:t>
      </w:r>
      <w:r>
        <w:rPr>
          <w:rFonts w:hint="eastAsia"/>
        </w:rPr>
        <w:t xml:space="preserve">(蓝)，灰虚线为均值场无穷系综上限；(b)</w:t>
      </w:r>
      <w:r>
        <w:t xml:space="preserve"> </w:t>
      </w:r>
      <w:r>
        <w:rPr>
          <w:rFonts w:hint="eastAsia"/>
        </w:rPr>
        <w:t xml:space="preserve">信息等效点上计数对逐次逼近的读出能量比</w:t>
      </w:r>
      <w:r>
        <w:t xml:space="preserve"> </w:t>
      </w:r>
      <w:r>
        <w:rPr>
          <w:rFonts w:hint="eastAsia"/>
        </w:rPr>
        <w:t xml:space="preserve">(实线为最坏情形计费、浅虚线为平均递增计费)</w:t>
      </w:r>
      <w:r>
        <w:t xml:space="preserve"> </w:t>
      </w:r>
      <w:r>
        <w:rPr>
          <w:rFonts w:hint="eastAsia"/>
        </w:rPr>
        <w:t xml:space="preserve">与总能量比，随系综规模由约7倍增至约190倍。</w:t>
      </w:r>
    </w:p>
    <w:bookmarkEnd w:id="68"/>
    <w:bookmarkStart w:id="73"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9"/>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233006"/>
            <wp:effectExtent b="0" l="0" r="0" t="0"/>
            <wp:docPr descr="" title="" id="71" name="Picture"/>
            <a:graphic>
              <a:graphicData uri="http://schemas.openxmlformats.org/drawingml/2006/picture">
                <pic:pic>
                  <pic:nvPicPr>
                    <pic:cNvPr descr="figs/Chapter05_local_10.png" id="72" name="Picture"/>
                    <pic:cNvPicPr>
                      <a:picLocks noChangeArrowheads="1" noChangeAspect="1"/>
                    </pic:cNvPicPr>
                  </pic:nvPicPr>
                  <pic:blipFill>
                    <a:blip r:embed="rId70"/>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73"/>
    <w:bookmarkStart w:id="74" w:name="参考文献"/>
    <w:p>
      <w:pPr>
        <w:pStyle w:val="Heading2"/>
      </w:pPr>
      <w:r>
        <w:rPr>
          <w:rFonts w:hint="eastAsia"/>
        </w:rPr>
        <w:t xml:space="preserve">参考文献</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43">
    <w:p>
      <w:pPr>
        <w:pStyle w:val="FootnoteText"/>
      </w:pPr>
      <w:r>
        <w:rPr>
          <w:rStyle w:val="FootnoteReference"/>
        </w:rPr>
        <w:footnoteRef/>
      </w:r>
      <w:r>
        <w:t xml:space="preserve"> </w:t>
      </w:r>
      <w:r>
        <w:rPr>
          <w:rFonts w:hint="eastAsia"/>
        </w:rPr>
        <w:t xml:space="preserve">本节温度轴经历一次口径订正：初版温度研究即采用仅kT缩放的简化轴，第四章温度链完成后经交叉核对，确认高温端弛豫时间被简化口径高估约2倍；图5.4的定性结论</w:t>
      </w:r>
      <w:r>
        <w:t xml:space="preserve"> </w:t>
      </w:r>
      <w:r>
        <w:rPr>
          <w:rFonts w:hint="eastAsia"/>
        </w:rPr>
        <w:t xml:space="preserve">(强敏感性与时钟补偿有效性)</w:t>
      </w:r>
      <w:r>
        <w:t xml:space="preserve"> </w:t>
      </w:r>
      <w:r>
        <w:rPr>
          <w:rFonts w:hint="eastAsia"/>
        </w:rPr>
        <w:t xml:space="preserve">不受影响，定量温轴以修正口径为准。</w:t>
      </w:r>
    </w:p>
  </w:footnote>
  <w:footnote w:id="51">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5">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6">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7">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8">
        <w:r>
          <w:rPr>
            <w:rStyle w:val="Hyperlink"/>
          </w:rPr>
          <w:t xml:space="preserve">arXiv:2601.21807</w:t>
        </w:r>
      </w:hyperlink>
    </w:p>
  </w:footnote>
  <w:footnote w:id="69">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hyperlink" Id="rId5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2026-07-13T08:37:03Z</dcterms:created>
  <dcterms:modified xsi:type="dcterms:W3CDTF">2026-07-13T08:37:03Z</dcterms:modified>
</cp:coreProperties>
</file>

<file path=docProps/custom.xml><?xml version="1.0" encoding="utf-8"?>
<Properties xmlns="http://schemas.openxmlformats.org/officeDocument/2006/custom-properties" xmlns:vt="http://schemas.openxmlformats.org/officeDocument/2006/docPropsVTypes"/>
</file>