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1.png" ContentType="image/png"/>
  <Override PartName="/word/media/rId57.png" ContentType="image/png"/>
  <Override PartName="/word/media/rId6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提供的器件模型与同一仿真后端，差别仅在于上层如何使用器件的随机性。伊辛求解以全阵列同步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即为一个具有可调时间常数的有状态系统，因而能够承担这一角色。本章在验证sMTJ器件能否以可机理归因的方式承担这一范式的基础上，集中回答两个面向工程的问题：该用法的硬件能效相对数字储备池居于何种水平，以及面向RC优化的sMTJ应落在怎样的器件参数区间。</w:t>
      </w:r>
    </w:p>
    <w:bookmarkStart w:id="12" w:name="X2c3693f1ea629acbd3653c39f4b741f2e98fe49"/>
    <w:p>
      <w:pPr>
        <w:pStyle w:val="Heading2"/>
      </w:pPr>
      <w:r>
        <w:t xml:space="preserve">5.1 </w:t>
      </w:r>
      <w:r>
        <w:rPr>
          <w:rFonts w:hint="eastAsia"/>
        </w:rPr>
        <w:t xml:space="preserve">sMTJ-RC的硬件工作原理</w:t>
      </w:r>
    </w:p>
    <w:p>
      <w:pPr>
        <w:pStyle w:val="FirstParagraph"/>
      </w:pPr>
      <w:r>
        <w:rPr>
          <w:rFonts w:hint="eastAsia"/>
        </w:rPr>
        <w:t xml:space="preserve">sMTJ作为储备池节点的物理图景决定了后续仿真器扩展的边界。储备池计算的三个要件，即高维投影、非线性与衰减记忆，在超顺磁sMTJ上分别由器件群体、热激活翻转的电压依赖性与磁矩弛豫时间承担。图5.1给出整体原理。</w:t>
      </w:r>
    </w:p>
    <w:p>
      <w:pPr>
        <w:pStyle w:val="BodyText"/>
      </w:pPr>
      <w:r>
        <w:drawing>
          <wp:inline>
            <wp:extent cx="5334000" cy="3772401"/>
            <wp:effectExtent b="0" l="0" r="0" t="0"/>
            <wp:docPr descr="" title="fig:" id="10" name="Picture"/>
            <a:graphic>
              <a:graphicData uri="http://schemas.openxmlformats.org/drawingml/2006/picture">
                <pic:pic>
                  <pic:nvPicPr>
                    <pic:cNvPr descr="D:\Documents\Graduation%20Project-2026\04PBNNSim\smtj_pbnn_sim\article\figs\Chapter05_local_01.png" id="11" name="Picture"/>
                    <pic:cNvPicPr>
                      <a:picLocks noChangeArrowheads="1" noChangeAspect="1"/>
                    </pic:cNvPicPr>
                  </pic:nvPicPr>
                  <pic:blipFill>
                    <a:blip r:embed="rId9"/>
                    <a:stretch>
                      <a:fillRect/>
                    </a:stretch>
                  </pic:blipFill>
                  <pic:spPr bwMode="auto">
                    <a:xfrm>
                      <a:off x="0" y="0"/>
                      <a:ext cx="5334000" cy="3772401"/>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。弛豫时间给出衰减记忆的时间常数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X8b4cbb38f556b06001e24393be160f126df2dc6"/>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出发作了概述，本节在此基础上聚焦与超顺磁sMTJ-RC直接相关的工作，对相关实现作一次梳理，可分为四类，各自相对超顺磁sMTJ-RC并做端到端硬件评估这一目标存在缺口。第一类是自旋力矩纳米振荡器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，它们在各自介质内已较为成熟，但器件物理与能耗模型均与本工作不通用。第四类是RC理论本身，回声状态网络与液体状态机奠定了固定随机储备池加训练读出的范式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给出了量化记忆与非线性的标准指标；本章采用线性记忆容量，并据信息处理容量的思想，以各阶延迟单项式的保留</w:t>
      </w:r>
      <m:oMath>
        <m:sSup>
          <m:e>
            <m:r>
              <m:t>r</m:t>
            </m:r>
          </m:e>
          <m:sup>
            <m:r>
              <m:t>2</m:t>
            </m:r>
          </m:sup>
        </m:sSup>
      </m:oMath>
      <w:r>
        <w:rPr>
          <w:rFonts w:hint="eastAsia"/>
        </w:rPr>
        <w:t xml:space="preserve">之和作为处理容量的实用代理（非其正交化原型，详见5.5节）。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X0fced55f049d481e37f9e7e33488642b087f1d9"/>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即可保持数值稳定。该模块以NumPy实现，支持逐器件的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2999208"/>
            <wp:effectExtent b="0" l="0" r="0" t="0"/>
            <wp:docPr descr="" title="fig:" id="34" name="Picture"/>
            <a:graphic>
              <a:graphicData uri="http://schemas.openxmlformats.org/drawingml/2006/picture">
                <pic:pic>
                  <pic:nvPicPr>
                    <pic:cNvPr descr="D:\Documents\Graduation%20Project-2026\04PBNNSim\smtj_pbnn_sim\article\figs\Chapter05_local_02.png" id="35" name="Picture"/>
                    <pic:cNvPicPr>
                      <a:picLocks noChangeArrowheads="1" noChangeAspect="1"/>
                    </pic:cNvPicPr>
                  </pic:nvPicPr>
                  <pic:blipFill>
                    <a:blip r:embed="rId33"/>
                    <a:stretch>
                      <a:fillRect/>
                    </a:stretch>
                  </pic:blipFill>
                  <pic:spPr bwMode="auto">
                    <a:xfrm>
                      <a:off x="0" y="0"/>
                      <a:ext cx="5334000" cy="2999208"/>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Xfc4c0f5761aae0ec08aa8c785bce0c5dd705a0d"/>
    <w:p>
      <w:pPr>
        <w:pStyle w:val="Heading2"/>
      </w:pPr>
      <w:r>
        <w:t xml:space="preserve">5.4 </w:t>
      </w:r>
      <w:r>
        <w:rPr>
          <w:rFonts w:hint="eastAsia"/>
        </w:rPr>
        <w:t xml:space="preserve">面向RC的器件优化与变异分析</w:t>
      </w:r>
    </w:p>
    <w:p>
      <w:pPr>
        <w:pStyle w:val="FirstParagraph"/>
      </w:pPr>
      <w:r>
        <w:rPr>
          <w:rFonts w:hint="eastAsia"/>
        </w:rPr>
        <w:t xml:space="preserve">面向RC的器件优化构成本章相对既有自旋电子RC工作的主要增量。由于非递归储备池节点的记忆即其弛豫时间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是首要器件参数；以下扫描全部在均值场模式下进行，使结论归因于器件物理而非散粒噪声。</w:t>
      </w:r>
    </w:p>
    <w:p>
      <w:pPr>
        <w:pStyle w:val="BodyText"/>
      </w:pPr>
      <w:r>
        <w:drawing>
          <wp:inline>
            <wp:extent cx="5334000" cy="3820702"/>
            <wp:effectExtent b="0" l="0" r="0" t="0"/>
            <wp:docPr descr="" title="fig:" id="38" name="Picture"/>
            <a:graphic>
              <a:graphicData uri="http://schemas.openxmlformats.org/drawingml/2006/picture">
                <pic:pic>
                  <pic:nvPicPr>
                    <pic:cNvPr descr="D:\Documents\Graduation%20Project-2026\04PBNNSim\smtj_pbnn_sim\article\figs\Chapter05_local_03.png" id="39" name="Picture"/>
                    <pic:cNvPicPr>
                      <a:picLocks noChangeArrowheads="1" noChangeAspect="1"/>
                    </pic:cNvPicPr>
                  </pic:nvPicPr>
                  <pic:blipFill>
                    <a:blip r:embed="rId37"/>
                    <a:stretch>
                      <a:fillRect/>
                    </a:stretch>
                  </pic:blipFill>
                  <pic:spPr bwMode="auto">
                    <a:xfrm>
                      <a:off x="0" y="0"/>
                      <a:ext cx="5334000" cy="3820702"/>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r>
        <w:rPr>
          <w:rFonts w:hint="eastAsia"/>
        </w:rPr>
        <w:t xml:space="preserve">两项结论可直接用于器件设计。第一项是势垒匹配。在固定任务步长下，记忆容量随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；面向RC优化的sMTJ因此应比面向PBNN写操作优化的器件势垒更低，更接近超顺磁临界稳定区。第二项是时间尺度匹配：最优弛豫时间随任务步长近似线性增长，约为输入采样周期的二至三倍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3820990"/>
            <wp:effectExtent b="0" l="0" r="0" t="0"/>
            <wp:docPr descr="" title="fig:" id="41" name="Picture"/>
            <a:graphic>
              <a:graphicData uri="http://schemas.openxmlformats.org/drawingml/2006/picture">
                <pic:pic>
                  <pic:nvPicPr>
                    <pic:cNvPr descr="D:\Documents\Graduation%20Project-2026\04PBNNSim\smtj_pbnn_sim\article\figs\Chapter05_local_04.png" id="42" name="Picture"/>
                    <pic:cNvPicPr>
                      <a:picLocks noChangeArrowheads="1" noChangeAspect="1"/>
                    </pic:cNvPicPr>
                  </pic:nvPicPr>
                  <pic:blipFill>
                    <a:blip r:embed="rId40"/>
                    <a:stretch>
                      <a:fillRect/>
                    </a:stretch>
                  </pic:blipFill>
                  <pic:spPr bwMode="auto">
                    <a:xfrm>
                      <a:off x="0" y="0"/>
                      <a:ext cx="5334000" cy="3820990"/>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，即可在宽温区保持接近最优的性能。该结论也呼应第二章的器件设计，若目标工作温区已知，可据匹配关系反推应制造的势垒高度。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3811218"/>
            <wp:effectExtent b="0" l="0" r="0" t="0"/>
            <wp:docPr descr="" title="fig:" id="44" name="Picture"/>
            <a:graphic>
              <a:graphicData uri="http://schemas.openxmlformats.org/drawingml/2006/picture">
                <pic:pic>
                  <pic:nvPicPr>
                    <pic:cNvPr descr="D:\Documents\Graduation%20Project-2026\04PBNNSim\smtj_pbnn_sim\article\figs\Chapter05_local_05.png" id="45" name="Picture"/>
                    <pic:cNvPicPr>
                      <a:picLocks noChangeArrowheads="1" noChangeAspect="1"/>
                    </pic:cNvPicPr>
                  </pic:nvPicPr>
                  <pic:blipFill>
                    <a:blip r:embed="rId43"/>
                    <a:stretch>
                      <a:fillRect/>
                    </a:stretch>
                  </pic:blipFill>
                  <pic:spPr bwMode="auto">
                    <a:xfrm>
                      <a:off x="0" y="0"/>
                      <a:ext cx="5334000" cy="3811218"/>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在较大范围内对</w:t>
      </w:r>
      <m:oMath>
        <m:sSub>
          <m:e>
            <m:r>
              <m:t>V</m:t>
            </m:r>
          </m:e>
          <m:sub>
            <m:r>
              <m:t>c</m:t>
            </m:r>
            <m:r>
              <m:t>0</m:t>
            </m:r>
          </m:sub>
        </m:sSub>
      </m:oMath>
      <w:r>
        <w:rPr>
          <w:rFonts w:hint="eastAsia"/>
        </w:rPr>
        <w:t xml:space="preserve">变异不敏感，直至器件失稳；(c)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63" w:name="Xe2a3f1b1aa575c0cb974114346a118e6d81fbc7"/>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3806953"/>
            <wp:effectExtent b="0" l="0" r="0" t="0"/>
            <wp:docPr descr="" title="fig:" id="48" name="Picture"/>
            <a:graphic>
              <a:graphicData uri="http://schemas.openxmlformats.org/drawingml/2006/picture">
                <pic:pic>
                  <pic:nvPicPr>
                    <pic:cNvPr descr="D:\Documents\Graduation%20Project-2026\04PBNNSim\smtj_pbnn_sim\article\figs\Chapter05_local_06.png" id="49" name="Picture"/>
                    <pic:cNvPicPr>
                      <a:picLocks noChangeArrowheads="1" noChangeAspect="1"/>
                    </pic:cNvPicPr>
                  </pic:nvPicPr>
                  <pic:blipFill>
                    <a:blip r:embed="rId47"/>
                    <a:stretch>
                      <a:fillRect/>
                    </a:stretch>
                  </pic:blipFill>
                  <pic:spPr bwMode="auto">
                    <a:xfrm>
                      <a:off x="0" y="0"/>
                      <a:ext cx="5334000" cy="3806953"/>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处理容量代理（各阶延迟单项式的保留</w:t>
      </w:r>
      <m:oMath>
        <m:sSup>
          <m:e>
            <m:r>
              <m:t>r</m:t>
            </m:r>
          </m:e>
          <m:sup>
            <m:r>
              <m:t>2</m:t>
            </m:r>
          </m:sup>
        </m:sSup>
      </m:oMath>
      <w:r>
        <w:rPr>
          <w:rFonts w:hint="eastAsia"/>
        </w:rPr>
        <w:t xml:space="preserve">之和）按多项式阶分解</w:t>
      </w:r>
      <w:r>
        <w:t xml:space="preserve"> </w:t>
      </w:r>
      <w:r>
        <w:rPr>
          <w:rFonts w:hint="eastAsia"/>
        </w:rPr>
        <w:t xml:space="preserve">(线性、二次、三次)，均值场与真实器件对比；(d)</w:t>
      </w:r>
      <w:r>
        <w:t xml:space="preserve"> </w:t>
      </w:r>
      <w:r>
        <w:rPr>
          <w:rFonts w:hint="eastAsia"/>
        </w:rPr>
        <w:t xml:space="preserve">总容量随工作点偏置的分配。</w:t>
      </w:r>
    </w:p>
    <w:p>
      <w:pPr>
        <w:pStyle w:val="BodyText"/>
      </w:pPr>
      <w:r>
        <w:rPr>
          <w:rFonts w:hint="eastAsia"/>
        </w:rPr>
        <w:t xml:space="preserve">Mackey-Glass单步预测NRMSE低至0.006，随预测步长增至约0.04，表明储备池能稳定承担混沌动力学的短时预测。容量分解</w:t>
      </w:r>
      <w:r>
        <w:rPr>
          <w:rStyle w:val="FootnoteReference"/>
        </w:rPr>
        <w:footnoteReference w:id="50"/>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逐步释放，线性容量相应让出，总容量大致守恒。这把5.4节的记忆与非线性权衡从单一乘积任务推广到完整的多项式容量谱，说明工作点偏置是在固定器件上重新分配记忆与非线性预算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3805731"/>
            <wp:effectExtent b="0" l="0" r="0" t="0"/>
            <wp:docPr descr="" title="fig:" id="52" name="Picture"/>
            <a:graphic>
              <a:graphicData uri="http://schemas.openxmlformats.org/drawingml/2006/picture">
                <pic:pic>
                  <pic:nvPicPr>
                    <pic:cNvPr descr="D:\Documents\Graduation%20Project-2026\04PBNNSim\smtj_pbnn_sim\article\figs\Chapter05_local_07.png" id="53" name="Picture"/>
                    <pic:cNvPicPr>
                      <a:picLocks noChangeArrowheads="1" noChangeAspect="1"/>
                    </pic:cNvPicPr>
                  </pic:nvPicPr>
                  <pic:blipFill>
                    <a:blip r:embed="rId51"/>
                    <a:stretch>
                      <a:fillRect/>
                    </a:stretch>
                  </pic:blipFill>
                  <pic:spPr bwMode="auto">
                    <a:xfrm>
                      <a:off x="0" y="0"/>
                      <a:ext cx="5334000" cy="3805731"/>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、1000步推理下，sMTJ-RC约</w:t>
      </w:r>
      <m:oMath>
        <m:r>
          <m:t>338</m:t>
        </m:r>
        <m:r>
          <m:t> </m:t>
        </m:r>
        <m:r>
          <m:rPr>
            <m:sty m:val="p"/>
          </m:rPr>
          <m:t>n</m:t>
        </m:r>
        <m:r>
          <m:rPr>
            <m:sty m:val="p"/>
          </m:rPr>
          <m:t>J</m:t>
        </m:r>
      </m:oMath>
      <w:r>
        <w:rPr>
          <w:rFonts w:hint="eastAsia"/>
        </w:rPr>
        <w:t xml:space="preserve">，其读出能量以提取的sky130</w:t>
      </w:r>
      <w:r>
        <w:t xml:space="preserve"> </w:t>
      </w:r>
      <w:r>
        <w:rPr>
          <w:rFonts w:hint="eastAsia"/>
        </w:rPr>
        <w:t xml:space="preserve">StrongARM比较器与电容数模阵列标定的逐次逼近转换为准、不再视为无代价</w:t>
      </w:r>
      <w:r>
        <w:rPr>
          <w:rStyle w:val="FootnoteReference"/>
        </w:rPr>
        <w:footnoteReference w:id="54"/>
      </w:r>
      <w:r>
        <w:rPr>
          <w:rFonts w:hint="eastAsia"/>
        </w:rPr>
        <w:t xml:space="preserve">；较常规数字ESN</w:t>
      </w:r>
      <w:r>
        <w:t xml:space="preserve"> </w:t>
      </w:r>
      <w:r>
        <w:rPr>
          <w:rFonts w:hint="eastAsia"/>
        </w:rPr>
        <w:t xml:space="preserve">(约</w:t>
      </w:r>
      <m:oMath>
        <m:r>
          <m:t>10</m:t>
        </m:r>
        <m:r>
          <m:t> </m:t>
        </m:r>
        <m:r>
          <m:t>204</m:t>
        </m:r>
        <m:r>
          <m:t> </m:t>
        </m:r>
        <m:r>
          <m:rPr>
            <m:sty m:val="p"/>
          </m:rPr>
          <m:t>n</m:t>
        </m:r>
        <m:r>
          <m:rPr>
            <m:sty m:val="p"/>
          </m:rPr>
          <m:t>J</m:t>
        </m:r>
      </m:oMath>
      <w:r>
        <w:rPr>
          <w:rFonts w:hint="eastAsia"/>
        </w:rPr>
        <w:t xml:space="preserve">，按1</w:t>
      </w:r>
      <w:r>
        <w:t xml:space="preserve"> </w:t>
      </w:r>
      <w:r>
        <w:rPr>
          <w:rFonts w:hint="eastAsia"/>
        </w:rPr>
        <w:t xml:space="preserve">pJ每次乘加计)</w:t>
      </w:r>
      <w:r>
        <w:t xml:space="preserve"> </w:t>
      </w:r>
      <w:r>
        <w:rPr>
          <w:rFonts w:hint="eastAsia"/>
        </w:rPr>
        <w:t xml:space="preserve">低约30倍</w:t>
      </w:r>
      <w:r>
        <w:t xml:space="preserve"> </w:t>
      </w:r>
      <w:r>
        <w:rPr>
          <w:rFonts w:hint="eastAsia"/>
        </w:rPr>
        <w:t xml:space="preserve">(逐节点8位读出；改用列共享时分复用读出约35倍)，按单位记忆容量能耗计低约一个数量级</w:t>
      </w:r>
      <w:r>
        <w:t xml:space="preserve"> </w:t>
      </w:r>
      <w:r>
        <w:rPr>
          <w:rFonts w:hint="eastAsia"/>
        </w:rPr>
        <w:t xml:space="preserve">(231对2140</w:t>
      </w:r>
      <w:r>
        <w:t xml:space="preserve"> </w:t>
      </w:r>
      <w:r>
        <w:rPr>
          <w:rFonts w:hint="eastAsia"/>
        </w:rPr>
        <w:t xml:space="preserve">nJ)。又因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(图5.7(c))。其边界也清楚：理想存内计算ESN</w:t>
      </w:r>
      <w:r>
        <w:t xml:space="preserve"> </w:t>
      </w:r>
      <w:r>
        <w:rPr>
          <w:rFonts w:hint="eastAsia"/>
        </w:rPr>
        <w:t xml:space="preserve">(忽略ADC开销)</w:t>
      </w:r>
      <w:r>
        <w:t xml:space="preserve"> </w:t>
      </w:r>
      <w:r>
        <w:rPr>
          <w:rFonts w:hint="eastAsia"/>
        </w:rPr>
        <w:t xml:space="preserve">的下界仍低于sMTJ-RC，故该优势成立于相对冯诺依曼式数字ESN的比较，而非相对最激进的模拟存内计算。图5.7(d)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中具备明确优势。</w:t>
      </w:r>
    </w:p>
    <w:p>
      <w:pPr>
        <w:pStyle w:val="BodyText"/>
      </w:pPr>
      <w:r>
        <w:rPr>
          <w:rFonts w:hint="eastAsia"/>
        </w:rPr>
        <w:t xml:space="preserve">上述能量对比把读出连同模数转换计入，其底层是一处值得单独说明的协同设计。原储备池能量模型把读出视为近乎无代价，而读出精度实为记忆容量的限制者，二者矛盾。把模数转换能量以提取的sky130</w:t>
      </w:r>
      <w:r>
        <w:t xml:space="preserve"> </w:t>
      </w:r>
      <w:r>
        <w:rPr>
          <w:rFonts w:hint="eastAsia"/>
        </w:rPr>
        <w:t xml:space="preserve">StrongARM比较器作逐次逼近转换器的比较器项、电容数模阵列的开关能量以sky130单位电容标定后，读出确非无代价：比较器即使3位分辨也已占储备池总能量近九成</w:t>
      </w:r>
      <w:r>
        <w:t xml:space="preserve"> </w:t>
      </w:r>
      <w:r>
        <w:rPr>
          <w:rFonts w:hint="eastAsia"/>
        </w:rPr>
        <w:t xml:space="preserve">(图5.9)；但比较器项随位数线性增长，故分辨率的能量惩罚温和。对集成式储备池而言低至中等分辨读出即足这一结论本身在近期工作中已有报道</w:t>
      </w:r>
      <w:r>
        <w:rPr>
          <w:rStyle w:val="FootnoteReference"/>
        </w:rPr>
        <w:footnoteReference w:id="55"/>
      </w:r>
      <w:r>
        <w:rPr>
          <w:rFonts w:hint="eastAsia"/>
        </w:rPr>
        <w:t xml:space="preserve">，本章区别于该工作之处在于以记忆容量每焦耳为目标、把节点数纳入联合权衡，并采用列共享、时分复用的逐次逼近转换器，把一套比较器与电容阵列摊销到超顺磁电报噪声节点之上</w:t>
      </w:r>
      <w:r>
        <w:t xml:space="preserve"> </w:t>
      </w:r>
      <w:r>
        <w:rPr>
          <w:rFonts w:hint="eastAsia"/>
        </w:rPr>
        <w:t xml:space="preserve">(图5.8)。正是这一摊销使前述能量优势在含提取读出时仍达约30倍</w:t>
      </w:r>
      <w:r>
        <w:t xml:space="preserve"> </w:t>
      </w:r>
      <w:r>
        <w:rPr>
          <w:rFonts w:hint="eastAsia"/>
        </w:rPr>
        <w:t xml:space="preserve">(逐节点8位)</w:t>
      </w:r>
      <w:r>
        <w:t xml:space="preserve"> </w:t>
      </w:r>
      <w:r>
        <w:rPr>
          <w:rFonts w:hint="eastAsia"/>
        </w:rPr>
        <w:t xml:space="preserve">至约35倍</w:t>
      </w:r>
      <w:r>
        <w:t xml:space="preserve"> </w:t>
      </w:r>
      <w:r>
        <w:rPr>
          <w:rFonts w:hint="eastAsia"/>
        </w:rPr>
        <w:t xml:space="preserve">(列共享)，而非以降低分辨率换取。</w:t>
      </w:r>
    </w:p>
    <w:p>
      <w:pPr>
        <w:pStyle w:val="BodyText"/>
      </w:pPr>
      <w:r>
        <w:drawing>
          <wp:inline>
            <wp:extent cx="5334000" cy="2788227"/>
            <wp:effectExtent b="0" l="0" r="0" t="0"/>
            <wp:docPr descr="" title="fig:" id="58" name="Picture"/>
            <a:graphic>
              <a:graphicData uri="http://schemas.openxmlformats.org/drawingml/2006/picture">
                <pic:pic>
                  <pic:nvPicPr>
                    <pic:cNvPr descr="D:\Documents\Graduation%20Project-2026\04PBNNSim\smtj_pbnn_sim\article\figs\Chapter05_local_08.png" id="59" name="Picture"/>
                    <pic:cNvPicPr>
                      <a:picLocks noChangeArrowheads="1" noChangeAspect="1"/>
                    </pic:cNvPicPr>
                  </pic:nvPicPr>
                  <pic:blipFill>
                    <a:blip r:embed="rId57"/>
                    <a:stretch>
                      <a:fillRect/>
                    </a:stretch>
                  </pic:blipFill>
                  <pic:spPr bwMode="auto">
                    <a:xfrm>
                      <a:off x="0" y="0"/>
                      <a:ext cx="5334000" cy="2788227"/>
                    </a:xfrm>
                    <a:prstGeom prst="rect">
                      <a:avLst/>
                    </a:prstGeom>
                    <a:noFill/>
                    <a:ln w="9525">
                      <a:noFill/>
                      <a:headEnd/>
                      <a:tailEnd/>
                    </a:ln>
                  </pic:spPr>
                </pic:pic>
              </a:graphicData>
            </a:graphic>
          </wp:inline>
        </w:drawing>
      </w:r>
    </w:p>
    <w:p>
      <w:pPr>
        <w:pStyle w:val="BodyText"/>
      </w:pPr>
      <w:r>
        <w:rPr>
          <w:rFonts w:hint="eastAsia"/>
          <w:b/>
          <w:bCs/>
        </w:rPr>
        <w:t xml:space="preserve">图5.8</w:t>
      </w:r>
      <w:r>
        <w:t xml:space="preserve"> </w:t>
      </w:r>
      <w:r>
        <w:rPr>
          <w:rFonts w:hint="eastAsia"/>
        </w:rPr>
        <w:t xml:space="preserve">列共享、时分复用的逐次逼近读出电路：多列抽头经采样开关时分复用到单一电荷再分配电容数模阵列的共享顶板节点，二进制加权电容底板由各位开关在参考电压与地之间切换，StrongARM比较器</w:t>
      </w:r>
      <w:r>
        <w:t xml:space="preserve"> </w:t>
      </w:r>
      <w:r>
        <w:rPr>
          <w:rFonts w:hint="eastAsia"/>
        </w:rPr>
        <w:t xml:space="preserve">(其晶体管级网表与第四章读出共用)</w:t>
      </w:r>
      <w:r>
        <w:t xml:space="preserve"> </w:t>
      </w:r>
      <w:r>
        <w:rPr>
          <w:rFonts w:hint="eastAsia"/>
        </w:rPr>
        <w:t xml:space="preserve">逐位逼近，逐次逼近寄存器输出数字码。一套比较器与电容阵列在各列间摊销，是上述读出能量得以受控的电路根据。</w:t>
      </w:r>
    </w:p>
    <w:p>
      <w:pPr>
        <w:pStyle w:val="BodyText"/>
      </w:pPr>
      <w:r>
        <w:drawing>
          <wp:inline>
            <wp:extent cx="5334000" cy="1822410"/>
            <wp:effectExtent b="0" l="0" r="0" t="0"/>
            <wp:docPr descr="" title="fig:" id="61" name="Picture"/>
            <a:graphic>
              <a:graphicData uri="http://schemas.openxmlformats.org/drawingml/2006/picture">
                <pic:pic>
                  <pic:nvPicPr>
                    <pic:cNvPr descr="D:\Documents\Graduation%20Project-2026\04PBNNSim\smtj_pbnn_sim\article\figs\Chapter05_local_09.png" id="62" name="Picture"/>
                    <pic:cNvPicPr>
                      <a:picLocks noChangeArrowheads="1" noChangeAspect="1"/>
                    </pic:cNvPicPr>
                  </pic:nvPicPr>
                  <pic:blipFill>
                    <a:blip r:embed="rId60"/>
                    <a:stretch>
                      <a:fillRect/>
                    </a:stretch>
                  </pic:blipFill>
                  <pic:spPr bwMode="auto">
                    <a:xfrm>
                      <a:off x="0" y="0"/>
                      <a:ext cx="5334000" cy="1822410"/>
                    </a:xfrm>
                    <a:prstGeom prst="rect">
                      <a:avLst/>
                    </a:prstGeom>
                    <a:noFill/>
                    <a:ln w="9525">
                      <a:noFill/>
                      <a:headEnd/>
                      <a:tailEnd/>
                    </a:ln>
                  </pic:spPr>
                </pic:pic>
              </a:graphicData>
            </a:graphic>
          </wp:inline>
        </w:drawing>
      </w:r>
    </w:p>
    <w:p>
      <w:pPr>
        <w:pStyle w:val="BodyText"/>
      </w:pPr>
      <w:r>
        <w:rPr>
          <w:rFonts w:hint="eastAsia"/>
          <w:b/>
          <w:bCs/>
        </w:rPr>
        <w:t xml:space="preserve">图5.9</w:t>
      </w:r>
      <w:r>
        <w:t xml:space="preserve"> </w:t>
      </w:r>
      <w:r>
        <w:rPr>
          <w:rFonts w:hint="eastAsia"/>
        </w:rPr>
        <w:t xml:space="preserve">储备池读出的能量协同与外围方案的同流程对比。(a)</w:t>
      </w:r>
      <w:r>
        <w:t xml:space="preserve"> </w:t>
      </w:r>
      <w:r>
        <w:rPr>
          <w:rFonts w:hint="eastAsia"/>
        </w:rPr>
        <w:t xml:space="preserve">等能量前沿：记忆容量对每步能量、颜色为模数转换位数；读出主导能量</w:t>
      </w:r>
      <w:r>
        <w:t xml:space="preserve"> </w:t>
      </w:r>
      <w:r>
        <w:rPr>
          <w:rFonts w:hint="eastAsia"/>
        </w:rPr>
        <w:t xml:space="preserve">(比较器即使低分辨也占近九成)，但比较器项随位数线性增长，故分辨率的能量惩罚温和——支撑以列共享摊销比较器、而非降低分辨率为读出能量杠杆。(b)</w:t>
      </w:r>
      <w:r>
        <w:t xml:space="preserve"> </w:t>
      </w:r>
      <w:r>
        <w:rPr>
          <w:rFonts w:hint="eastAsia"/>
        </w:rPr>
        <w:t xml:space="preserve">计入物理模数转换读出后，sMTJ-RC相对数字ESN的能量优势</w:t>
      </w:r>
      <w:r>
        <w:t xml:space="preserve"> </w:t>
      </w:r>
      <w:r>
        <w:rPr>
          <w:rFonts w:hint="eastAsia"/>
        </w:rPr>
        <w:t xml:space="preserve">(逐节点／列共享、不同位数)，落在约30–35×。(c)</w:t>
      </w:r>
      <w:r>
        <w:t xml:space="preserve"> </w:t>
      </w:r>
      <w:r>
        <w:rPr>
          <w:rFonts w:hint="eastAsia"/>
        </w:rPr>
        <w:t xml:space="preserve">两种SAR电容数模阵列开关方案</w:t>
      </w:r>
      <w:r>
        <w:t xml:space="preserve"> </w:t>
      </w:r>
      <w:r>
        <w:rPr>
          <w:rFonts w:hint="eastAsia"/>
        </w:rPr>
        <w:t xml:space="preserve">(本文monotonic与conventional)</w:t>
      </w:r>
      <w:r>
        <w:t xml:space="preserve"> </w:t>
      </w:r>
      <w:r>
        <w:rPr>
          <w:rFonts w:hint="eastAsia"/>
        </w:rPr>
        <w:t xml:space="preserve">在同一sky130暂态电荷积分下的单次转换能量</w:t>
      </w:r>
      <w:r>
        <w:t xml:space="preserve"> (</w:t>
      </w:r>
      <m:oMath>
        <m:r>
          <m:t>b</m:t>
        </m:r>
        <m:r>
          <m:rPr>
            <m:sty m:val="p"/>
          </m:rPr>
          <m:t>=</m:t>
        </m:r>
        <m:r>
          <m:t>8</m:t>
        </m:r>
      </m:oMath>
      <w:r>
        <w:rPr>
          <w:rFonts w:hint="eastAsia"/>
        </w:rPr>
        <w:t xml:space="preserve">，电容DAC开关能与已提取比较器能分项堆叠)：monotonic把电容DAC开关能压低约4.3倍</w:t>
      </w:r>
      <w:r>
        <w:t xml:space="preserve"> </w:t>
      </w:r>
      <w:r>
        <w:rPr>
          <w:rFonts w:hint="eastAsia"/>
        </w:rPr>
        <w:t xml:space="preserve">(92.3对394.7</w:t>
      </w:r>
      <w:r>
        <w:t xml:space="preserve"> </w:t>
      </w:r>
      <w:r>
        <w:rPr>
          <w:rFonts w:hint="eastAsia"/>
        </w:rPr>
        <w:t xml:space="preserve">fJ)，而按位线性的比较器项主导总能量，印证读出能量杠杆在于跨列摊销比较器而非削减位数。各备选方案与同流程分析见附录D。</w:t>
      </w:r>
    </w:p>
    <w:bookmarkEnd w:id="63"/>
    <w:bookmarkStart w:id="71" w:name="Xcaaba4a8071824c394fe34912acc8d64f805d47"/>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rPr>
          <w:rStyle w:val="FootnoteReference"/>
        </w:rPr>
        <w:footnoteReference w:id="64"/>
      </w:r>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本章结论受三方面条件约束。其一，散粒噪声与面积的权衡尚未在更省的读出方案</w:t>
      </w:r>
      <w:r>
        <w:t xml:space="preserve"> </w:t>
      </w:r>
      <w:r>
        <w:rPr>
          <w:rFonts w:hint="eastAsia"/>
        </w:rPr>
        <w:t xml:space="preserve">(速率读出、长积分窗、概率域读出)</w:t>
      </w:r>
      <w:r>
        <w:t xml:space="preserve"> </w:t>
      </w:r>
      <w:r>
        <w:rPr>
          <w:rFonts w:hint="eastAsia"/>
        </w:rPr>
        <w:t xml:space="preserve">下充分探索，这关系到sMTJ-RC能否在更广场景胜过数字基线。其二，递归耦合在本章以数值矩阵实现，其物理形态</w:t>
      </w:r>
      <w:r>
        <w:t xml:space="preserve"> </w:t>
      </w:r>
      <w:r>
        <w:rPr>
          <w:rFonts w:hint="eastAsia"/>
        </w:rPr>
        <w:t xml:space="preserve">(偶极场或共享电流线)</w:t>
      </w:r>
      <w:r>
        <w:t xml:space="preserve"> </w:t>
      </w:r>
      <w:r>
        <w:rPr>
          <w:rFonts w:hint="eastAsia"/>
        </w:rPr>
        <w:t xml:space="preserve">的保真度与面积代价需在阵列层进一步评估。其三，相对于确定性ESN，器件随机性更可能是代价而非优势，本章已明确区分sMTJ-RC占优的指标</w:t>
      </w:r>
      <w:r>
        <w:t xml:space="preserve"> </w:t>
      </w:r>
      <w:r>
        <w:rPr>
          <w:rFonts w:hint="eastAsia"/>
        </w:rPr>
        <w:t xml:space="preserve">(能量、面积、对工艺变异的容忍)</w:t>
      </w:r>
      <w:r>
        <w:t xml:space="preserve"> </w:t>
      </w:r>
      <w:r>
        <w:rPr>
          <w:rFonts w:hint="eastAsia"/>
        </w:rPr>
        <w:t xml:space="preserve">与不占优的指标</w:t>
      </w:r>
      <w:r>
        <w:t xml:space="preserve"> </w:t>
      </w:r>
      <w:r>
        <w:rPr>
          <w:rFonts w:hint="eastAsia"/>
        </w:rPr>
        <w:t xml:space="preserve">(绝对精度)，不作过度宣称。</w:t>
      </w:r>
    </w:p>
    <w:p>
      <w:pPr>
        <w:pStyle w:val="BodyText"/>
      </w:pPr>
      <w:r>
        <w:rPr>
          <w:rFonts w:hint="eastAsia"/>
        </w:rPr>
        <w:t xml:space="preserve">把同一物理阵列以时分复用同时承担概率位推断与储备池处理，还要求两种模式取不同的热稳定因子：概率位取</w:t>
      </w:r>
      <m:oMath>
        <m:r>
          <m:rPr>
            <m:sty m:val="p"/>
          </m:rPr>
          <m:t>Δ</m:t>
        </m:r>
        <m:r>
          <m:rPr>
            <m:sty m:val="p"/>
          </m:rPr>
          <m:t>=</m:t>
        </m:r>
        <m:r>
          <m:t>4.91</m:t>
        </m:r>
      </m:oMath>
      <w:r>
        <w:t xml:space="preserve"> </w:t>
      </w:r>
      <w:r>
        <w:rPr>
          <w:rFonts w:hint="eastAsia"/>
        </w:rPr>
        <w:t xml:space="preserve">(零偏弛豫约68</w:t>
      </w:r>
      <w:r>
        <w:t xml:space="preserve"> </w:t>
      </w:r>
      <w:r>
        <w:rPr>
          <w:rFonts w:hint="eastAsia"/>
        </w:rPr>
        <w:t xml:space="preserve">ns)，储备池取</w:t>
      </w:r>
      <m:oMath>
        <m:r>
          <m:rPr>
            <m:sty m:val="p"/>
          </m:rPr>
          <m:t>Δ</m:t>
        </m:r>
        <m:r>
          <m:rPr>
            <m:sty m:val="p"/>
          </m:rPr>
          <m:t>≈</m:t>
        </m:r>
        <m:r>
          <m:t>3.8</m:t>
        </m:r>
      </m:oMath>
      <w:r>
        <w:t xml:space="preserve"> </w:t>
      </w:r>
      <w:r>
        <w:rPr>
          <w:rFonts w:hint="eastAsia"/>
        </w:rPr>
        <w:t xml:space="preserve">(约22</w:t>
      </w:r>
      <w:r>
        <w:t xml:space="preserve"> </w:t>
      </w:r>
      <w:r>
        <w:rPr>
          <w:rFonts w:hint="eastAsia"/>
        </w:rPr>
        <w:t xml:space="preserve">ns)。一块固定器件不能同时是两个势垒，时分复用需约22.6%的势垒摆幅</w:t>
      </w:r>
      <w:r>
        <w:t xml:space="preserve"> (</w:t>
      </w:r>
      <m:oMath>
        <m:r>
          <m:rPr>
            <m:sty m:val="p"/>
          </m:rPr>
          <m:t>Δ</m:t>
        </m:r>
        <m:sSub>
          <m:e>
            <m:r>
              <m:t>E</m:t>
            </m:r>
          </m:e>
          <m:sub>
            <m:r>
              <m:t>b</m:t>
            </m:r>
          </m:sub>
        </m:sSub>
        <m:r>
          <m:rPr>
            <m:sty m:val="p"/>
          </m:rPr>
          <m:t>≈</m:t>
        </m:r>
        <m:r>
          <m:t>28.7</m:t>
        </m:r>
        <m:r>
          <m:t> </m:t>
        </m:r>
        <m:r>
          <m:rPr>
            <m:sty m:val="p"/>
          </m:rPr>
          <m:t>m</m:t>
        </m:r>
        <m:r>
          <m:rPr>
            <m:sty m:val="p"/>
          </m:rPr>
          <m:t>e</m:t>
        </m:r>
        <m:r>
          <m:rPr>
            <m:sty m:val="p"/>
          </m:rPr>
          <m:t>V</m:t>
        </m:r>
      </m:oMath>
      <w:r>
        <w:rPr>
          <w:rFonts w:hint="eastAsia"/>
        </w:rPr>
        <w:t xml:space="preserve">)，可经电压控制磁各向异性栅</w:t>
      </w:r>
      <w:r>
        <w:rPr>
          <w:rStyle w:val="FootnoteReference"/>
        </w:rPr>
        <w:footnoteReference w:id="65"/>
      </w:r>
      <w:r>
        <w:rPr>
          <w:rFonts w:hint="eastAsia"/>
        </w:rPr>
        <w:t xml:space="preserve">或约88</w:t>
      </w:r>
      <w:r>
        <w:t xml:space="preserve"> </w:t>
      </w:r>
      <w:r>
        <w:rPr>
          <w:rFonts w:hint="eastAsia"/>
        </w:rPr>
        <w:t xml:space="preserve">K温升达到。该提案有三个限制：两种模式在时间上互斥；储备池所需的低势垒与概率位的写保持及读扰动相冲突；尚无在同一物理阵列上时分复用概率位写入与储备池自由演化的实现，已报道的电压可调随机性器件主要是脉冲驱动稳定pMTJ得到的可调随机电报噪声</w:t>
      </w:r>
      <w:r>
        <w:rPr>
          <w:rStyle w:val="FootnoteReference"/>
        </w:rPr>
        <w:footnoteReference w:id="66"/>
      </w:r>
      <w:r>
        <w:rPr>
          <w:rFonts w:hint="eastAsia"/>
        </w:rPr>
        <w:t xml:space="preserve">，并非概率位与储备池双模阵列。因此该统一阵列应作为受限的、电压栅控的、时分复用的架构提案陈述，并附上述量化调谐包络与势垒冲突这一限制。</w:t>
      </w:r>
    </w:p>
    <w:p>
      <w:pPr>
        <w:pStyle w:val="BodyText"/>
      </w:pPr>
      <w:r>
        <w:rPr>
          <w:rFonts w:hint="eastAsia"/>
        </w:rPr>
        <w:t xml:space="preserve">上述三类用法在同一套器件—阵列—外围硬件上的整体组织见图5.10。该图把全文主线的器件、阵列、外围与操作模式四个层次串起：右侧操作模式层并列概率位推断与储备池两种时分复用用法，正与本节所述受限统一阵列相对应。</w:t>
      </w:r>
    </w:p>
    <w:p>
      <w:pPr>
        <w:pStyle w:val="BodyText"/>
      </w:pPr>
      <w:r>
        <w:drawing>
          <wp:inline>
            <wp:extent cx="5334000" cy="2611235"/>
            <wp:effectExtent b="0" l="0" r="0" t="0"/>
            <wp:docPr descr="" title="fig:" id="69" name="Picture"/>
            <a:graphic>
              <a:graphicData uri="http://schemas.openxmlformats.org/drawingml/2006/picture">
                <pic:pic>
                  <pic:nvPicPr>
                    <pic:cNvPr descr="D:\Documents\Graduation%20Project-2026\04PBNNSim\smtj_pbnn_sim\article\figs\Chapter05_local_10.png" id="70" name="Picture"/>
                    <pic:cNvPicPr>
                      <a:picLocks noChangeArrowheads="1" noChangeAspect="1"/>
                    </pic:cNvPicPr>
                  </pic:nvPicPr>
                  <pic:blipFill>
                    <a:blip r:embed="rId68"/>
                    <a:stretch>
                      <a:fillRect/>
                    </a:stretch>
                  </pic:blipFill>
                  <pic:spPr bwMode="auto">
                    <a:xfrm>
                      <a:off x="0" y="0"/>
                      <a:ext cx="5334000" cy="2611235"/>
                    </a:xfrm>
                    <a:prstGeom prst="rect">
                      <a:avLst/>
                    </a:prstGeom>
                    <a:noFill/>
                    <a:ln w="9525">
                      <a:noFill/>
                      <a:headEnd/>
                      <a:tailEnd/>
                    </a:ln>
                  </pic:spPr>
                </pic:pic>
              </a:graphicData>
            </a:graphic>
          </wp:inline>
        </w:drawing>
      </w:r>
    </w:p>
    <w:p>
      <w:pPr>
        <w:pStyle w:val="BodyText"/>
      </w:pPr>
      <w:r>
        <w:rPr>
          <w:rFonts w:hint="eastAsia"/>
          <w:b/>
          <w:bCs/>
        </w:rPr>
        <w:t xml:space="preserve">图5.10</w:t>
      </w:r>
      <w:r>
        <w:t xml:space="preserve"> </w:t>
      </w:r>
      <w:r>
        <w:rPr>
          <w:rFonts w:hint="eastAsia"/>
        </w:rPr>
        <w:t xml:space="preserve">sMTJ概率位／储备池计算的整体系统架构</w:t>
      </w:r>
      <w:r>
        <w:t xml:space="preserve"> </w:t>
      </w:r>
      <w:r>
        <w:rPr>
          <w:rFonts w:hint="eastAsia"/>
        </w:rPr>
        <w:t xml:space="preserve">(器件</w:t>
      </w:r>
      <w:r>
        <w:t xml:space="preserve"> → </w:t>
      </w:r>
      <w:r>
        <w:rPr>
          <w:rFonts w:hint="eastAsia"/>
        </w:rPr>
        <w:t xml:space="preserve">XNOR存内计算阵列</w:t>
      </w:r>
      <w:r>
        <w:t xml:space="preserve"> → sky130 </w:t>
      </w:r>
      <w:r>
        <w:rPr>
          <w:rFonts w:hint="eastAsia"/>
        </w:rPr>
        <w:t xml:space="preserve">CMOS外围</w:t>
      </w:r>
      <w:r>
        <w:t xml:space="preserve"> → </w:t>
      </w:r>
      <w:r>
        <w:rPr>
          <w:rFonts w:hint="eastAsia"/>
        </w:rPr>
        <w:t xml:space="preserve">操作模式)。同一物理阵列经BL/SL、WWL/RWL、RBL与外围耦合，右侧操作模式层并列概率位推断与储备池两种时分复用用法，顶部虚线为闭环采样反馈，底栏标出各层的抽象级别及其sky130实现来源</w:t>
      </w:r>
      <w:r>
        <w:t xml:space="preserve"> </w:t>
      </w:r>
      <w:r>
        <w:rPr>
          <w:rFonts w:hint="eastAsia"/>
        </w:rPr>
        <w:t xml:space="preserve">(外围层为提取数)。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前两类任务利用的是器件的瞬时随机性，本章进一步把可用资源延伸到器件的时域动力学，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bookmarkEnd w:id="71"/>
    <w:bookmarkStart w:id="72" w:name="参考文献"/>
    <w:p>
      <w:pPr>
        <w:pStyle w:val="Heading2"/>
      </w:pPr>
      <w:r>
        <w:rPr>
          <w:rFonts w:hint="eastAsia"/>
        </w:rPr>
        <w:t xml:space="preserve">参考文献</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 w:id="50">
    <w:p>
      <w:pPr>
        <w:pStyle w:val="FootnoteText"/>
      </w:pPr>
      <w:r>
        <w:rPr>
          <w:rStyle w:val="FootnoteReference"/>
        </w:rPr>
        <w:footnoteRef/>
      </w:r>
      <w:r>
        <w:t xml:space="preserve"> </w:t>
      </w:r>
      <w:r>
        <w:rPr>
          <w:rFonts w:hint="eastAsia"/>
        </w:rPr>
        <w:t xml:space="preserve">此处以各阶延迟单项式的保留</w:t>
      </w:r>
      <m:oMath>
        <m:sSup>
          <m:e>
            <m:r>
              <m:t>r</m:t>
            </m:r>
          </m:e>
          <m:sup>
            <m:r>
              <m:t>2</m:t>
            </m:r>
          </m:sup>
        </m:sSup>
      </m:oMath>
      <w:r>
        <w:rPr>
          <w:rFonts w:hint="eastAsia"/>
        </w:rPr>
        <w:t xml:space="preserve">之和度量容量，作为信息处理容量的实用代理；因所用单项式非正交，各阶之和不构成受储备池维数约束的绝对IPC，仅用于均值场与器件、以及偏置扫描间的相对比较。</w:t>
      </w:r>
    </w:p>
  </w:footnote>
  <w:footnote w:id="54">
    <w:p>
      <w:pPr>
        <w:pStyle w:val="FootnoteText"/>
      </w:pPr>
      <w:r>
        <w:rPr>
          <w:rStyle w:val="FootnoteReference"/>
        </w:rPr>
        <w:footnoteRef/>
      </w:r>
      <w:r>
        <w:t xml:space="preserve"> </w:t>
      </w:r>
      <w:r>
        <w:rPr>
          <w:rFonts w:hint="eastAsia"/>
        </w:rPr>
        <w:t xml:space="preserve">外围电路的工艺节点与各项提取方式统一见4.6节：开源sky130</w:t>
      </w:r>
      <w:r>
        <w:t xml:space="preserve"> 130 </w:t>
      </w:r>
      <w:r>
        <w:rPr>
          <w:rFonts w:hint="eastAsia"/>
        </w:rPr>
        <w:t xml:space="preserve">nm，比较器判决能由Magic提取的器件电容结合ngspice瞬态积分得到，电容数模阵列开关能以sky130单位电容密度标定。</w:t>
      </w:r>
    </w:p>
  </w:footnote>
  <w:footnote w:id="55">
    <w:p>
      <w:pPr>
        <w:pStyle w:val="FootnoteText"/>
      </w:pPr>
      <w:r>
        <w:rPr>
          <w:rStyle w:val="FootnoteReference"/>
        </w:rPr>
        <w:footnoteRef/>
      </w:r>
      <w:r>
        <w:t xml:space="preserve"> </w:t>
      </w:r>
      <w:r>
        <w:t xml:space="preserve">Nakamura Y, Kubota T, Imai Y, Tsunegi S, Notsu H, Nakajima K. Ensemble reservoir computing for physical systems.</w:t>
      </w:r>
      <w:r>
        <w:t xml:space="preserve"> </w:t>
      </w:r>
      <w:r>
        <w:rPr>
          <w:i/>
          <w:iCs/>
        </w:rPr>
        <w:t xml:space="preserve">arXiv preprint</w:t>
      </w:r>
      <w:r>
        <w:t xml:space="preserve">, 2026.</w:t>
      </w:r>
      <w:r>
        <w:t xml:space="preserve"> </w:t>
      </w:r>
      <w:hyperlink r:id="rId56">
        <w:r>
          <w:rPr>
            <w:rStyle w:val="Hyperlink"/>
          </w:rPr>
          <w:t xml:space="preserve">arXiv:2601.21807</w:t>
        </w:r>
      </w:hyperlink>
    </w:p>
  </w:footnote>
  <w:footnote w:id="64">
    <w:p>
      <w:pPr>
        <w:pStyle w:val="FootnoteText"/>
      </w:pPr>
      <w:r>
        <w:rPr>
          <w:rStyle w:val="FootnoteReference"/>
        </w:rPr>
        <w:footnoteRef/>
      </w:r>
      <w:r>
        <w:t xml:space="preserve"> </w:t>
      </w:r>
      <w:r>
        <w:rPr>
          <w:rFonts w:hint="eastAsia"/>
        </w:rPr>
        <w:t xml:space="preserve">本工作工作点下最优</w:t>
      </w:r>
      <m:oMath>
        <m:r>
          <m:rPr>
            <m:sty m:val="p"/>
          </m:rPr>
          <m:t>Δ</m:t>
        </m:r>
      </m:oMath>
      <w:r>
        <w:rPr>
          <w:rFonts w:hint="eastAsia"/>
        </w:rPr>
        <w:t xml:space="preserve">约为4，平缓高原覆盖3.5至4.3，相对PBNN写器件的</w:t>
      </w:r>
      <m:oMath>
        <m:r>
          <m:t>4.91</m:t>
        </m:r>
      </m:oMath>
      <w:r>
        <w:t xml:space="preserve">。</w:t>
      </w:r>
    </w:p>
  </w:footnote>
  <w:footnote w:id="65">
    <w:p>
      <w:pPr>
        <w:pStyle w:val="FootnoteText"/>
      </w:pPr>
      <w:r>
        <w:rPr>
          <w:rStyle w:val="FootnoteReference"/>
        </w:rPr>
        <w:footnoteRef/>
      </w:r>
      <w:r>
        <w:t xml:space="preserve"> </w:t>
      </w:r>
      <w:r>
        <w:rPr>
          <w:rFonts w:hint="eastAsia"/>
        </w:rPr>
        <w:t xml:space="preserve">该栅压约0.56</w:t>
      </w:r>
      <w:r>
        <w:t xml:space="preserve"> </w:t>
      </w:r>
      <w:r>
        <w:rPr>
          <w:rFonts w:hint="eastAsia"/>
        </w:rPr>
        <w:t xml:space="preserve">V，量级与已报道的电压可调各向异性器件相当。</w:t>
      </w:r>
    </w:p>
  </w:footnote>
  <w:footnote w:id="66">
    <w:p>
      <w:pPr>
        <w:pStyle w:val="FootnoteText"/>
      </w:pPr>
      <w:r>
        <w:rPr>
          <w:rStyle w:val="FootnoteReference"/>
        </w:rPr>
        <w:footnoteRef/>
      </w:r>
      <w:r>
        <w:t xml:space="preserve"> </w:t>
      </w:r>
      <w:r>
        <w:t xml:space="preserve">Sidi El Valli A, Tsao M, Chen D, Kent A D. Tunable random telegraph noise in stable perpendicular magnetic tunnel junctions for unconventional computing.</w:t>
      </w:r>
      <w:r>
        <w:t xml:space="preserve"> </w:t>
      </w:r>
      <w:r>
        <w:rPr>
          <w:i/>
          <w:iCs/>
        </w:rPr>
        <w:t xml:space="preserve">arXiv preprint</w:t>
      </w:r>
      <w:r>
        <w:t xml:space="preserve">, 2025.</w:t>
      </w:r>
      <w:r>
        <w:t xml:space="preserve"> </w:t>
      </w:r>
      <w:hyperlink r:id="rId67">
        <w:r>
          <w:rPr>
            <w:rStyle w:val="Hyperlink"/>
          </w:rPr>
          <w:t xml:space="preserve">arXiv:2509.13458</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hyperlink" Id="rId67" Target="https://arxiv.org/abs/2509.13458" TargetMode="External"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9.13458" TargetMode="External" /><Relationship Type="http://schemas.openxmlformats.org/officeDocument/2006/relationships/hyperlink" Id="rId56" Target="https://arxiv.org/abs/2601.21807" TargetMode="External"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2026-07-03T02:20:48Z</dcterms:created>
  <dcterms:modified xsi:type="dcterms:W3CDTF">2026-07-03T02:20:48Z</dcterms:modified>
</cp:coreProperties>
</file>

<file path=docProps/custom.xml><?xml version="1.0" encoding="utf-8"?>
<Properties xmlns="http://schemas.openxmlformats.org/officeDocument/2006/custom-properties" xmlns:vt="http://schemas.openxmlformats.org/officeDocument/2006/docPropsVTypes"/>
</file>