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4.png" ContentType="image/png"/>
  <Override PartName="/word/media/rId48.png" ContentType="image/png"/>
  <Override PartName="/word/media/rId52.png" ContentType="image/png"/>
  <Override PartName="/word/media/rId59.png" ContentType="image/png"/>
  <Override PartName="/word/media/rId6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7"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696030"/>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69603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370</m:t>
        </m:r>
        <m:r>
          <m:t> </m:t>
        </m:r>
        <m:r>
          <m:rPr>
            <m:sty m:val="p"/>
          </m:rPr>
          <m:t>n</m:t>
        </m:r>
        <m:r>
          <m:rPr>
            <m:sty m:val="p"/>
          </m:rPr>
          <m:t>s</m:t>
        </m:r>
      </m:oMath>
      <w:r>
        <w:rPr>
          <w:rFonts w:hint="eastAsia"/>
        </w:rPr>
        <w:t xml:space="preserve">降至约</w:t>
      </w:r>
      <m:oMath>
        <m:r>
          <m:t>7</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K间漂移达5.37，而当储备池更新步长随温度按匹配关系调整后，漂移压缩至0.32。这给出一个简单的器件操作配方：无需改变器件，只需令系统时钟跟随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上述温轴取第四章建立的磁性标度链：势垒本身随温度下降</w:t>
      </w:r>
      <w:r>
        <w:t xml:space="preserve"> </w:t>
      </w:r>
      <w:r>
        <w:rPr>
          <w:rFonts w:hint="eastAsia"/>
        </w:rPr>
        <w:t xml:space="preserve">(界面项与形状项的近补偿之差被温度放大)，故</w:t>
      </w:r>
      <m:oMath>
        <m:r>
          <m:t>τ</m:t>
        </m:r>
        <m:r>
          <m:rPr>
            <m:sty m:val="p"/>
          </m:rPr>
          <m:t>(</m:t>
        </m:r>
        <m:r>
          <m:t>T</m:t>
        </m:r>
        <m:r>
          <m:rPr>
            <m:sty m:val="p"/>
          </m:rPr>
          <m:t>)</m:t>
        </m:r>
      </m:oMath>
      <w:r>
        <w:rPr>
          <w:rFonts w:hint="eastAsia"/>
        </w:rPr>
        <w:t xml:space="preserve">较仅随分母kT缩放的固定势垒简化口径更陡，高温端在400</w:t>
      </w:r>
      <w:r>
        <w:t xml:space="preserve"> </w:t>
      </w:r>
      <w:r>
        <w:rPr>
          <w:rFonts w:hint="eastAsia"/>
        </w:rPr>
        <w:t xml:space="preserve">K附近不足后者的一半</w:t>
      </w:r>
      <w:r>
        <w:rPr>
          <w:rStyle w:val="FootnoteReference"/>
        </w:rPr>
        <w:footnoteReference w:id="43"/>
      </w:r>
      <w:r>
        <w:rPr>
          <w:rFonts w:hint="eastAsia"/>
        </w:rPr>
        <w:t xml:space="preserve">。热时钟配方的形式与口径无关：系统时钟跟随</w:t>
      </w:r>
      <m:oMath>
        <m:r>
          <m:t>τ</m:t>
        </m:r>
        <m:r>
          <m:rPr>
            <m:sty m:val="p"/>
          </m:rPr>
          <m:t>(</m:t>
        </m:r>
        <m:r>
          <m:t>T</m:t>
        </m:r>
        <m:r>
          <m:rPr>
            <m:sty m:val="p"/>
          </m:rPr>
          <m:t>)</m:t>
        </m:r>
      </m:oMath>
      <w:r>
        <w:rPr>
          <w:rFonts w:hint="eastAsia"/>
        </w:rPr>
        <w:t xml:space="preserve">即可；按温反推势垒或设定重标定周期时亦以该温轴为准。该温轴与第四章概率二值网络的部署温窗共享同一标度链，两种工作模式的温度行为由此统一在同一温轴上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5" name="Picture"/>
            <a:graphic>
              <a:graphicData uri="http://schemas.openxmlformats.org/drawingml/2006/picture">
                <pic:pic>
                  <pic:nvPicPr>
                    <pic:cNvPr descr="figs/Chapter05_local_05.png" id="46" name="Picture"/>
                    <pic:cNvPicPr>
                      <a:picLocks noChangeArrowheads="1" noChangeAspect="1"/>
                    </pic:cNvPicPr>
                  </pic:nvPicPr>
                  <pic:blipFill>
                    <a:blip r:embed="rId44"/>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7"/>
    <w:bookmarkStart w:id="68"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9" name="Picture"/>
            <a:graphic>
              <a:graphicData uri="http://schemas.openxmlformats.org/drawingml/2006/picture">
                <pic:pic>
                  <pic:nvPicPr>
                    <pic:cNvPr descr="figs/Chapter05_local_06.png" id="50" name="Picture"/>
                    <pic:cNvPicPr>
                      <a:picLocks noChangeArrowheads="1" noChangeAspect="1"/>
                    </pic:cNvPicPr>
                  </pic:nvPicPr>
                  <pic:blipFill>
                    <a:blip r:embed="rId48"/>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1"/>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3" name="Picture"/>
            <a:graphic>
              <a:graphicData uri="http://schemas.openxmlformats.org/drawingml/2006/picture">
                <pic:pic>
                  <pic:nvPicPr>
                    <pic:cNvPr descr="figs/Chapter05_local_07.png" id="54" name="Picture"/>
                    <pic:cNvPicPr>
                      <a:picLocks noChangeArrowheads="1" noChangeAspect="1"/>
                    </pic:cNvPicPr>
                  </pic:nvPicPr>
                  <pic:blipFill>
                    <a:blip r:embed="rId52"/>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5"/>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6"/>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57"/>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0" name="Picture"/>
            <a:graphic>
              <a:graphicData uri="http://schemas.openxmlformats.org/drawingml/2006/picture">
                <pic:pic>
                  <pic:nvPicPr>
                    <pic:cNvPr descr="figs/Chapter05_local_08.png" id="61" name="Picture"/>
                    <pic:cNvPicPr>
                      <a:picLocks noChangeArrowheads="1" noChangeAspect="1"/>
                    </pic:cNvPicPr>
                  </pic:nvPicPr>
                  <pic:blipFill>
                    <a:blip r:embed="rId59"/>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3" name="Picture"/>
            <a:graphic>
              <a:graphicData uri="http://schemas.openxmlformats.org/drawingml/2006/picture">
                <pic:pic>
                  <pic:nvPicPr>
                    <pic:cNvPr descr="figs/Chapter05_local_09.png" id="64" name="Picture"/>
                    <pic:cNvPicPr>
                      <a:picLocks noChangeArrowheads="1" noChangeAspect="1"/>
                    </pic:cNvPicPr>
                  </pic:nvPicPr>
                  <pic:blipFill>
                    <a:blip r:embed="rId62"/>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(图5.11)</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66" name="Picture"/>
            <a:graphic>
              <a:graphicData uri="http://schemas.openxmlformats.org/drawingml/2006/picture">
                <pic:pic>
                  <pic:nvPicPr>
                    <pic:cNvPr descr="figs/Chapter05_local_11.png" id="67" name="Picture"/>
                    <pic:cNvPicPr>
                      <a:picLocks noChangeArrowheads="1" noChangeAspect="1"/>
                    </pic:cNvPicPr>
                  </pic:nvPicPr>
                  <pic:blipFill>
                    <a:blip r:embed="rId65"/>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68"/>
    <w:bookmarkStart w:id="73"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9"/>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71" name="Picture"/>
            <a:graphic>
              <a:graphicData uri="http://schemas.openxmlformats.org/drawingml/2006/picture">
                <pic:pic>
                  <pic:nvPicPr>
                    <pic:cNvPr descr="figs/Chapter05_local_10.png" id="72" name="Picture"/>
                    <pic:cNvPicPr>
                      <a:picLocks noChangeArrowheads="1" noChangeAspect="1"/>
                    </pic:cNvPicPr>
                  </pic:nvPicPr>
                  <pic:blipFill>
                    <a:blip r:embed="rId70"/>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3"/>
    <w:bookmarkStart w:id="74" w:name="参考文献"/>
    <w:p>
      <w:pPr>
        <w:pStyle w:val="Heading2"/>
      </w:pPr>
      <w:r>
        <w:rPr>
          <w:rFonts w:hint="eastAsia"/>
        </w:rPr>
        <w:t xml:space="preserve">参考文献</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43">
    <w:p>
      <w:pPr>
        <w:pStyle w:val="FootnoteText"/>
      </w:pPr>
      <w:r>
        <w:rPr>
          <w:rStyle w:val="FootnoteReference"/>
        </w:rPr>
        <w:footnoteRef/>
      </w:r>
      <w:r>
        <w:t xml:space="preserve"> </w:t>
      </w:r>
      <w:r>
        <w:rPr>
          <w:rFonts w:hint="eastAsia"/>
        </w:rPr>
        <w:t xml:space="preserve">本节温度轴经历一次口径订正：初版温度研究采用仅kT缩放的简化轴</w:t>
      </w:r>
      <w:r>
        <w:t xml:space="preserve"> </w:t>
      </w:r>
      <w:r>
        <w:rPr>
          <w:rFonts w:hint="eastAsia"/>
        </w:rPr>
        <w:t xml:space="preserve">(固定势垒)，第四章温度链完成后经交叉核对，确认其在高温端把弛豫时间高估约2倍；图5.4与正文数字现均按标定链重算</w:t>
      </w:r>
      <w:r>
        <w:t xml:space="preserve"> </w:t>
      </w:r>
      <w:r>
        <w:rPr>
          <w:rFonts w:hint="eastAsia"/>
        </w:rPr>
        <w:t xml:space="preserve">(未补偿漂移与补偿后残余由简化口径的2.33/0.17变为5.37/0.32)，定性结论</w:t>
      </w:r>
      <w:r>
        <w:t xml:space="preserve"> </w:t>
      </w:r>
      <w:r>
        <w:rPr>
          <w:rFonts w:hint="eastAsia"/>
        </w:rPr>
        <w:t xml:space="preserve">(强敏感性与时钟补偿有效性)</w:t>
      </w:r>
      <w:r>
        <w:t xml:space="preserve"> </w:t>
      </w:r>
      <w:r>
        <w:rPr>
          <w:rFonts w:hint="eastAsia"/>
        </w:rPr>
        <w:t xml:space="preserve">不变，且未补偿漂移在标定口径下更大、补偿的必要性更显著。</w:t>
      </w:r>
    </w:p>
  </w:footnote>
  <w:footnote w:id="51">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5">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6">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7">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8">
        <w:r>
          <w:rPr>
            <w:rStyle w:val="Hyperlink"/>
          </w:rPr>
          <w:t xml:space="preserve">arXiv:2601.21807</w:t>
        </w:r>
      </w:hyperlink>
    </w:p>
  </w:footnote>
  <w:footnote w:id="69">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2026-07-19T10:50:17Z</dcterms:created>
  <dcterms:modified xsi:type="dcterms:W3CDTF">2026-07-19T10:50:17Z</dcterms:modified>
</cp:coreProperties>
</file>

<file path=docProps/custom.xml><?xml version="1.0" encoding="utf-8"?>
<Properties xmlns="http://schemas.openxmlformats.org/officeDocument/2006/custom-properties" xmlns:vt="http://schemas.openxmlformats.org/officeDocument/2006/docPropsVTypes"/>
</file>