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3.png" ContentType="image/png"/>
  <Override PartName="/word/media/rId37.png" ContentType="image/png"/>
  <Override PartName="/word/media/rId40.png" ContentType="image/png"/>
  <Override PartName="/word/media/rId43.png" ContentType="image/png"/>
  <Override PartName="/word/media/rId47.png" ContentType="image/png"/>
  <Override PartName="/word/media/rId51.png" ContentType="image/png"/>
  <Override PartName="/word/media/rId58.png" ContentType="image/png"/>
  <Override PartName="/word/media/rId61.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第5章-基于smtj的储备池计算硬件评估与器件优化指导"/>
    <w:p>
      <w:pPr>
        <w:pStyle w:val="Heading1"/>
      </w:pPr>
      <w:r>
        <w:rPr>
          <w:rFonts w:hint="eastAsia"/>
        </w:rPr>
        <w:t xml:space="preserve">第5章</w:t>
      </w:r>
      <w:r>
        <w:t xml:space="preserve"> </w:t>
      </w:r>
      <w:r>
        <w:rPr>
          <w:rFonts w:hint="eastAsia"/>
        </w:rPr>
        <w:t xml:space="preserve">基于sMTJ的储备池计算：硬件评估与器件优化指导</w:t>
      </w:r>
    </w:p>
    <w:p>
      <w:pPr>
        <w:pStyle w:val="FirstParagraph"/>
      </w:pPr>
      <w:r>
        <w:rPr>
          <w:rFonts w:hint="eastAsia"/>
        </w:rPr>
        <w:t xml:space="preserve">本章是全文主线的第三类任务评估。第三章把sMTJ抽象为伊辛自旋以承担组合优化，第四章把同一硬件单元转作PBNN的概率二值权重以承担前馈机器学习推断，本章则把sMTJ用作储备池计算</w:t>
      </w:r>
      <w:r>
        <w:t xml:space="preserve"> (Reservoir </w:t>
      </w:r>
      <w:r>
        <w:rPr>
          <w:rFonts w:hint="eastAsia"/>
        </w:rPr>
        <w:t xml:space="preserve">Computing，RC)</w:t>
      </w:r>
      <w:r>
        <w:t xml:space="preserve"> </w:t>
      </w:r>
      <w:r>
        <w:rPr>
          <w:rFonts w:hint="eastAsia"/>
        </w:rPr>
        <w:t xml:space="preserve">的随机动力学节点，以承担时序处理任务。三者共用第二章提供的器件模型与同一仿真后端，差别仅在于上层如何使用器件的随机性。伊辛求解以全阵列异步Gibbs演化至热平衡的方式利用随机性逃逸局部极小，PBNN以独立同分布的Bernoulli采样并在时域平均的方式把随机性归约为确定期望，本章则保留磁矩在时间上的相关性，并把这种相关性本身当作计算资源。由此，同一物理阵列承担传统分离任务的主线，从优化与前馈推断两类扩展到含记忆的时序处理；更重要的是，被前两类任务所利用的是器件的瞬时或平衡态随机性，本章利用的则是其时域动力学，即把可用的物理资源从瞬时涨落延伸到弛豫记忆。</w:t>
      </w:r>
    </w:p>
    <w:p>
      <w:pPr>
        <w:pStyle w:val="BodyText"/>
      </w:pPr>
      <w:r>
        <w:rPr>
          <w:rFonts w:hint="eastAsia"/>
        </w:rPr>
        <w:t xml:space="preserve">PBNN与RC对器件随机性的使用恰好对偶。第四章的采样路径每次独立抽取Bernoulli样本并对</w:t>
      </w:r>
      <m:oMath>
        <m:r>
          <m:t>T</m:t>
        </m:r>
      </m:oMath>
      <w:r>
        <w:rPr>
          <w:rFonts w:hint="eastAsia"/>
        </w:rPr>
        <w:t xml:space="preserve">次取平均，以无偏估计写概率</w:t>
      </w:r>
      <m:oMath>
        <m:r>
          <m:t>σ</m:t>
        </m:r>
        <m:r>
          <m:rPr>
            <m:sty m:val="p"/>
          </m:rPr>
          <m:t>(</m:t>
        </m:r>
        <m:r>
          <m:t>θ</m:t>
        </m:r>
        <m:r>
          <m:rPr>
            <m:sty m:val="p"/>
          </m:rPr>
          <m:t>)</m:t>
        </m:r>
      </m:oMath>
      <w:r>
        <w:rPr>
          <w:rFonts w:hint="eastAsia"/>
        </w:rPr>
        <w:t xml:space="preserve">，其器件视图是第二章</w:t>
      </w:r>
      <m:oMath>
        <m:sSub>
          <m:e>
            <m:r>
              <m:t>P</m:t>
            </m:r>
          </m:e>
          <m:sub>
            <m:r>
              <m:rPr>
                <m:sty m:val="p"/>
              </m:rPr>
              <m:t>s</m:t>
            </m:r>
            <m:r>
              <m:rPr>
                <m:sty m:val="p"/>
              </m:rPr>
              <m:t>w</m:t>
            </m:r>
          </m:sub>
        </m:sSub>
        <m:r>
          <m:rPr>
            <m:sty m:val="p"/>
          </m:rPr>
          <m:t>(</m:t>
        </m:r>
        <m:r>
          <m:t>V</m:t>
        </m:r>
        <m:r>
          <m:rPr>
            <m:sty m:val="p"/>
          </m:rPr>
          <m:t>,</m:t>
        </m:r>
        <m:sSub>
          <m:e>
            <m:r>
              <m:t>t</m:t>
            </m:r>
          </m:e>
          <m:sub>
            <m:r>
              <m:rPr>
                <m:sty m:val="p"/>
              </m:rPr>
              <m:t>p</m:t>
            </m:r>
          </m:sub>
        </m:sSub>
        <m:r>
          <m:rPr>
            <m:sty m:val="p"/>
          </m:rPr>
          <m:t>)</m:t>
        </m:r>
      </m:oMath>
      <w:r>
        <w:rPr>
          <w:rFonts w:hint="eastAsia"/>
        </w:rPr>
        <w:t xml:space="preserve">所描述的一次性、无记忆写事件。RC所依赖的恰是被PBNN平均掉的那部分信息：一个固定而不训练的高维非线性动力学系统，具备衰减记忆，使当前状态依赖近期输入历史而渐忘远期，仅训练末端的线性读出层即可完成时序映射。超顺磁sMTJ的热涨落翻转过程本身即为一个具有可调时间常数的有状态系统，因而能够承担这一角色。本章在验证sMTJ器件能否以可机理归因的方式承担这一范式的基础上，集中回答两个面向工程的问题：该用法的硬件能效相对数字储备池居于何种水平，以及面向RC优化的sMTJ应落在怎样的器件参数区间。</w:t>
      </w:r>
    </w:p>
    <w:bookmarkStart w:id="12" w:name="smtj-rc的硬件工作原理"/>
    <w:p>
      <w:pPr>
        <w:pStyle w:val="Heading2"/>
      </w:pPr>
      <w:r>
        <w:t xml:space="preserve">5.1 </w:t>
      </w:r>
      <w:r>
        <w:rPr>
          <w:rFonts w:hint="eastAsia"/>
        </w:rPr>
        <w:t xml:space="preserve">sMTJ-RC的硬件工作原理</w:t>
      </w:r>
    </w:p>
    <w:p>
      <w:pPr>
        <w:pStyle w:val="FirstParagraph"/>
      </w:pPr>
      <w:r>
        <w:rPr>
          <w:rFonts w:hint="eastAsia"/>
        </w:rPr>
        <w:t xml:space="preserve">sMTJ作为储备池节点的物理图景决定了后续仿真器扩展的边界。储备池计算的三个要件，即高维投影、非线性与衰减记忆，在超顺磁sMTJ上分别由器件群体、热激活翻转的电压依赖性与磁矩弛豫时间承担。图5.1给出整体原理。</w:t>
      </w:r>
    </w:p>
    <w:p>
      <w:pPr>
        <w:pStyle w:val="BodyText"/>
      </w:pPr>
      <w:r>
        <w:drawing>
          <wp:inline>
            <wp:extent cx="5334000" cy="3704486"/>
            <wp:effectExtent b="0" l="0" r="0" t="0"/>
            <wp:docPr descr="" title="" id="10" name="Picture"/>
            <a:graphic>
              <a:graphicData uri="http://schemas.openxmlformats.org/drawingml/2006/picture">
                <pic:pic>
                  <pic:nvPicPr>
                    <pic:cNvPr descr="figs/Chapter05_local_01.png" id="11" name="Picture"/>
                    <pic:cNvPicPr>
                      <a:picLocks noChangeArrowheads="1" noChangeAspect="1"/>
                    </pic:cNvPicPr>
                  </pic:nvPicPr>
                  <pic:blipFill>
                    <a:blip r:embed="rId9"/>
                    <a:stretch>
                      <a:fillRect/>
                    </a:stretch>
                  </pic:blipFill>
                  <pic:spPr bwMode="auto">
                    <a:xfrm>
                      <a:off x="0" y="0"/>
                      <a:ext cx="5334000" cy="3704486"/>
                    </a:xfrm>
                    <a:prstGeom prst="rect">
                      <a:avLst/>
                    </a:prstGeom>
                    <a:noFill/>
                    <a:ln w="9525">
                      <a:noFill/>
                      <a:headEnd/>
                      <a:tailEnd/>
                    </a:ln>
                  </pic:spPr>
                </pic:pic>
              </a:graphicData>
            </a:graphic>
          </wp:inline>
        </w:drawing>
      </w:r>
    </w:p>
    <w:p>
      <w:pPr>
        <w:pStyle w:val="BodyText"/>
      </w:pPr>
      <w:r>
        <w:rPr>
          <w:rFonts w:hint="eastAsia"/>
          <w:b/>
          <w:bCs/>
        </w:rPr>
        <w:t xml:space="preserve">图5.1</w:t>
      </w:r>
      <w:r>
        <w:t xml:space="preserve"> </w:t>
      </w:r>
      <w:r>
        <w:rPr>
          <w:rFonts w:hint="eastAsia"/>
        </w:rPr>
        <w:t xml:space="preserve">sMTJ储备池计算原理。上方为流水线：输入</w:t>
      </w:r>
      <m:oMath>
        <m:r>
          <m:t>u</m:t>
        </m:r>
        <m:r>
          <m:rPr>
            <m:sty m:val="p"/>
          </m:rPr>
          <m:t>(</m:t>
        </m:r>
        <m:r>
          <m:t>t</m:t>
        </m:r>
        <m:r>
          <m:rPr>
            <m:sty m:val="p"/>
          </m:rPr>
          <m:t>)</m:t>
        </m:r>
      </m:oMath>
      <w:r>
        <w:rPr>
          <w:rFonts w:hint="eastAsia"/>
        </w:rPr>
        <w:t xml:space="preserve">经固定输入权重</w:t>
      </w:r>
      <m:oMath>
        <m:sSub>
          <m:e>
            <m:r>
              <m:t>W</m:t>
            </m:r>
          </m:e>
          <m:sub>
            <m:r>
              <m:rPr>
                <m:sty m:val="p"/>
              </m:rPr>
              <m:t>i</m:t>
            </m:r>
            <m:r>
              <m:rPr>
                <m:sty m:val="p"/>
              </m:rPr>
              <m:t>n</m:t>
            </m:r>
          </m:sub>
        </m:sSub>
      </m:oMath>
      <w:r>
        <w:rPr>
          <w:rFonts w:hint="eastAsia"/>
        </w:rPr>
        <w:t xml:space="preserve">注入由</w:t>
      </w:r>
      <m:oMath>
        <m:r>
          <m:t>N</m:t>
        </m:r>
      </m:oMath>
      <w:r>
        <w:rPr>
          <w:rFonts w:hint="eastAsia"/>
        </w:rPr>
        <w:t xml:space="preserve">个超顺磁sMTJ节点构成的固定随机储备池，节点间以固定随机递归耦合，仅末端线性读出</w:t>
      </w:r>
      <m:oMath>
        <m:sSub>
          <m:e>
            <m:r>
              <m:t>W</m:t>
            </m:r>
          </m:e>
          <m:sub>
            <m:r>
              <m:rPr>
                <m:sty m:val="p"/>
              </m:rPr>
              <m:t>o</m:t>
            </m:r>
            <m:r>
              <m:rPr>
                <m:sty m:val="p"/>
              </m:rPr>
              <m:t>u</m:t>
            </m:r>
            <m:r>
              <m:rPr>
                <m:sty m:val="p"/>
              </m:rPr>
              <m:t>t</m:t>
            </m:r>
          </m:sub>
        </m:sSub>
      </m:oMath>
      <w:r>
        <w:rPr>
          <w:rFonts w:hint="eastAsia"/>
        </w:rPr>
        <w:t xml:space="preserve">被训练。下方为仿真器实际输出：(a)</w:t>
      </w:r>
      <w:r>
        <w:t xml:space="preserve"> </w:t>
      </w:r>
      <w:r>
        <w:rPr>
          <w:rFonts w:hint="eastAsia"/>
        </w:rPr>
        <w:t xml:space="preserve">sMTJ随机电报噪声基底，两条真实的</w:t>
      </w:r>
      <m:oMath>
        <m:r>
          <m:rPr>
            <m:sty m:val="p"/>
          </m:rPr>
          <m:t>±</m:t>
        </m:r>
        <m:r>
          <m:t>1</m:t>
        </m:r>
      </m:oMath>
      <w:r>
        <w:rPr>
          <w:rFonts w:hint="eastAsia"/>
        </w:rPr>
        <w:t xml:space="preserve">翻转轨迹，零偏时停留时间长而翻转缓慢，加偏后翻转加快，停留时间正是衰减记忆的载体；(b)</w:t>
      </w:r>
      <w:r>
        <w:t xml:space="preserve"> </w:t>
      </w:r>
      <w:r>
        <w:rPr>
          <w:rFonts w:hint="eastAsia"/>
        </w:rPr>
        <w:t xml:space="preserve">储备池响应，多个节点的模拟激活轨迹彼此相异，体现对输入历史的高维非线性投影；(c)</w:t>
      </w:r>
      <w:r>
        <w:t xml:space="preserve"> </w:t>
      </w:r>
      <w:r>
        <w:rPr>
          <w:rFonts w:hint="eastAsia"/>
        </w:rPr>
        <w:t xml:space="preserve">训练后的线性读出从储备池状态重建延迟目标</w:t>
      </w:r>
      <m:oMath>
        <m:r>
          <m:t>u</m:t>
        </m:r>
        <m:r>
          <m:rPr>
            <m:sty m:val="p"/>
          </m:rPr>
          <m:t>(</m:t>
        </m:r>
        <m:r>
          <m:t>t</m:t>
        </m:r>
        <m:r>
          <m:rPr>
            <m:sty m:val="p"/>
          </m:rPr>
          <m:t>−</m:t>
        </m:r>
        <m:r>
          <m:t>4</m:t>
        </m:r>
        <m:r>
          <m:rPr>
            <m:sty m:val="p"/>
          </m:rPr>
          <m:t>)</m:t>
        </m:r>
      </m:oMath>
      <w:r>
        <w:t xml:space="preserve">。</w:t>
      </w:r>
    </w:p>
    <w:p>
      <w:pPr>
        <w:pStyle w:val="BodyText"/>
      </w:pPr>
      <w:r>
        <w:rPr>
          <w:rFonts w:hint="eastAsia"/>
        </w:rPr>
        <w:t xml:space="preserve">超顺磁结的磁矩位于双势阱中，以连续时间两态马尔可夫过程在</w:t>
      </w:r>
      <m:oMath>
        <m:r>
          <m:t>s</m:t>
        </m:r>
        <m:r>
          <m:rPr>
            <m:sty m:val="p"/>
          </m:rPr>
          <m:t>∈</m:t>
        </m:r>
        <m:r>
          <m:rPr>
            <m:sty m:val="p"/>
          </m:rPr>
          <m:t>{</m:t>
        </m:r>
        <m:r>
          <m:rPr>
            <m:sty m:val="p"/>
          </m:rPr>
          <m:t>−</m:t>
        </m:r>
        <m:r>
          <m:t>1</m:t>
        </m:r>
        <m:r>
          <m:rPr>
            <m:sty m:val="p"/>
          </m:rPr>
          <m:t>,</m:t>
        </m:r>
        <m:r>
          <m:rPr>
            <m:sty m:val="p"/>
          </m:rPr>
          <m:t>+</m:t>
        </m:r>
        <m:r>
          <m:t>1</m:t>
        </m:r>
        <m:r>
          <m:rPr>
            <m:sty m:val="p"/>
          </m:rPr>
          <m:t>}</m:t>
        </m:r>
      </m:oMath>
      <w:r>
        <w:rPr>
          <w:rFonts w:hint="eastAsia"/>
        </w:rPr>
        <w:t xml:space="preserve">间随机跳变。偏置电压倾斜势阱，抬高一侧势垒而压低另一侧。沿用第二章的Néel-Brown热激活律，两个逃逸速率为</w:t>
      </w:r>
    </w:p>
    <w:p>
      <w:pPr>
        <w:pStyle w:val="BodyText"/>
      </w:pPr>
      <m:oMathPara>
        <m:oMathParaPr>
          <m:jc m:val="center"/>
        </m:oMathParaPr>
        <m:oMath>
          <m:sSub>
            <m:e>
              <m:r>
                <m:t>r</m:t>
              </m:r>
            </m:e>
            <m:sub>
              <m:r>
                <m:rPr>
                  <m:sty m:val="p"/>
                </m:rPr>
                <m:t>↑</m:t>
              </m:r>
            </m:sub>
          </m:sSub>
          <m:r>
            <m:rPr>
              <m:sty m:val="p"/>
            </m:rPr>
            <m:t>(</m:t>
          </m:r>
          <m:r>
            <m:t>V</m:t>
          </m:r>
          <m:r>
            <m:rPr>
              <m:sty m:val="p"/>
            </m:rPr>
            <m:t>)</m:t>
          </m:r>
          <m:r>
            <m:rPr>
              <m:sty m:val="p"/>
            </m:rPr>
            <m:t>=</m:t>
          </m:r>
          <m:f>
            <m:fPr>
              <m:type m:val="bar"/>
            </m:fPr>
            <m:num>
              <m:r>
                <m:t>1</m:t>
              </m:r>
            </m:num>
            <m:den>
              <m:sSub>
                <m:e>
                  <m:r>
                    <m:t>τ</m:t>
                  </m:r>
                </m:e>
                <m:sub>
                  <m:r>
                    <m:t>0</m:t>
                  </m:r>
                </m:sub>
              </m:sSub>
            </m:den>
          </m:f>
          <m:r>
            <m:rPr>
              <m:sty m:val="p"/>
            </m:rPr>
            <m:t>exp</m:t>
          </m:r>
          <m:r>
            <m:t>​</m:t>
          </m:r>
          <m:d>
            <m:dPr>
              <m:begChr m:val="["/>
              <m:sepChr m:val=""/>
              <m:endChr m:val="]"/>
              <m:grow/>
            </m:dPr>
            <m:e>
              <m:r>
                <m:rPr>
                  <m:sty m:val="p"/>
                </m:rPr>
                <m:t>−</m:t>
              </m:r>
              <m:r>
                <m:rPr>
                  <m:sty m:val="p"/>
                </m:rPr>
                <m:t>Δ</m:t>
              </m:r>
              <m:r>
                <m:rPr>
                  <m:sty m:val="p"/>
                </m:rPr>
                <m:t>(</m:t>
              </m:r>
              <m:r>
                <m:t>1</m:t>
              </m:r>
              <m:r>
                <m:rPr>
                  <m:sty m:val="p"/>
                </m:rPr>
                <m:t>−</m:t>
              </m:r>
              <m:r>
                <m:t>V</m:t>
              </m:r>
              <m:r>
                <m:rPr>
                  <m:sty m:val="p"/>
                </m:rPr>
                <m:t>/</m:t>
              </m:r>
              <m:sSub>
                <m:e>
                  <m:r>
                    <m:t>V</m:t>
                  </m:r>
                </m:e>
                <m:sub>
                  <m:r>
                    <m:t>c</m:t>
                  </m:r>
                  <m:r>
                    <m:t>0</m:t>
                  </m:r>
                </m:sub>
              </m:sSub>
              <m:r>
                <m:rPr>
                  <m:sty m:val="p"/>
                </m:rPr>
                <m:t>)</m:t>
              </m:r>
            </m:e>
          </m:d>
          <m:r>
            <m:rPr>
              <m:sty m:val="p"/>
            </m:rPr>
            <m:t>,</m:t>
          </m:r>
          <m:r>
            <m:t>  </m:t>
          </m:r>
          <m:sSub>
            <m:e>
              <m:r>
                <m:t>r</m:t>
              </m:r>
            </m:e>
            <m:sub>
              <m:r>
                <m:rPr>
                  <m:sty m:val="p"/>
                </m:rPr>
                <m:t>↓</m:t>
              </m:r>
            </m:sub>
          </m:sSub>
          <m:r>
            <m:rPr>
              <m:sty m:val="p"/>
            </m:rPr>
            <m:t>(</m:t>
          </m:r>
          <m:r>
            <m:t>V</m:t>
          </m:r>
          <m:r>
            <m:rPr>
              <m:sty m:val="p"/>
            </m:rPr>
            <m:t>)</m:t>
          </m:r>
          <m:r>
            <m:rPr>
              <m:sty m:val="p"/>
            </m:rPr>
            <m:t>=</m:t>
          </m:r>
          <m:f>
            <m:fPr>
              <m:type m:val="bar"/>
            </m:fPr>
            <m:num>
              <m:r>
                <m:t>1</m:t>
              </m:r>
            </m:num>
            <m:den>
              <m:sSub>
                <m:e>
                  <m:r>
                    <m:t>τ</m:t>
                  </m:r>
                </m:e>
                <m:sub>
                  <m:r>
                    <m:t>0</m:t>
                  </m:r>
                </m:sub>
              </m:sSub>
            </m:den>
          </m:f>
          <m:r>
            <m:rPr>
              <m:sty m:val="p"/>
            </m:rPr>
            <m:t>exp</m:t>
          </m:r>
          <m:r>
            <m:t>​</m:t>
          </m:r>
          <m:d>
            <m:dPr>
              <m:begChr m:val="["/>
              <m:sepChr m:val=""/>
              <m:endChr m:val="]"/>
              <m:grow/>
            </m:dPr>
            <m:e>
              <m:r>
                <m:rPr>
                  <m:sty m:val="p"/>
                </m:rPr>
                <m:t>−</m:t>
              </m:r>
              <m:r>
                <m:rPr>
                  <m:sty m:val="p"/>
                </m:rPr>
                <m:t>Δ</m:t>
              </m:r>
              <m:r>
                <m:rPr>
                  <m:sty m:val="p"/>
                </m:rPr>
                <m:t>(</m:t>
              </m:r>
              <m:r>
                <m:t>1</m:t>
              </m:r>
              <m:r>
                <m:rPr>
                  <m:sty m:val="p"/>
                </m:rPr>
                <m:t>+</m:t>
              </m:r>
              <m:r>
                <m:t>V</m:t>
              </m:r>
              <m:r>
                <m:rPr>
                  <m:sty m:val="p"/>
                </m:rPr>
                <m:t>/</m:t>
              </m:r>
              <m:sSub>
                <m:e>
                  <m:r>
                    <m:t>V</m:t>
                  </m:r>
                </m:e>
                <m:sub>
                  <m:r>
                    <m:t>c</m:t>
                  </m:r>
                  <m:r>
                    <m:t>0</m:t>
                  </m:r>
                </m:sub>
              </m:sSub>
              <m:r>
                <m:rPr>
                  <m:sty m:val="p"/>
                </m:rPr>
                <m:t>)</m:t>
              </m:r>
            </m:e>
          </m:d>
          <m:r>
            <m:rPr>
              <m:sty m:val="p"/>
            </m:rPr>
            <m:t>,</m:t>
          </m:r>
        </m:oMath>
      </m:oMathPara>
    </w:p>
    <w:p>
      <w:pPr>
        <w:pStyle w:val="FirstParagraph"/>
      </w:pPr>
      <w:r>
        <w:rPr>
          <w:rFonts w:hint="eastAsia"/>
        </w:rPr>
        <w:t xml:space="preserve">其中</w:t>
      </w:r>
      <m:oMath>
        <m:sSub>
          <m:e>
            <m:r>
              <m:t>r</m:t>
            </m:r>
          </m:e>
          <m:sub>
            <m:r>
              <m:rPr>
                <m:sty m:val="p"/>
              </m:rPr>
              <m:t>↑</m:t>
            </m:r>
          </m:sub>
        </m:sSub>
      </m:oMath>
      <w:r>
        <w:rPr>
          <w:rFonts w:hint="eastAsia"/>
        </w:rPr>
        <w:t xml:space="preserve">即第二章</w:t>
      </w:r>
      <m:oMath>
        <m:sSub>
          <m:e>
            <m:r>
              <m:t>P</m:t>
            </m:r>
          </m:e>
          <m:sub>
            <m:r>
              <m:rPr>
                <m:sty m:val="p"/>
              </m:rPr>
              <m:t>s</m:t>
            </m:r>
            <m:r>
              <m:rPr>
                <m:sty m:val="p"/>
              </m:rPr>
              <m:t>w</m:t>
            </m:r>
          </m:sub>
        </m:sSub>
      </m:oMath>
      <w:r>
        <w:rPr>
          <w:rFonts w:hint="eastAsia"/>
        </w:rPr>
        <w:t xml:space="preserve">所内含的瞬时翻转速率，</w:t>
      </w:r>
      <m:oMath>
        <m:sSub>
          <m:e>
            <m:r>
              <m:t>r</m:t>
            </m:r>
          </m:e>
          <m:sub>
            <m:r>
              <m:rPr>
                <m:sty m:val="p"/>
              </m:rPr>
              <m:t>↓</m:t>
            </m:r>
          </m:sub>
        </m:sSub>
      </m:oMath>
      <w:r>
        <w:rPr>
          <w:rFonts w:hint="eastAsia"/>
        </w:rPr>
        <w:t xml:space="preserve">为偏置反向后的同一律。稳态均值给出输入到状态的非线性传输关系</w:t>
      </w:r>
    </w:p>
    <w:p>
      <w:pPr>
        <w:pStyle w:val="BodyText"/>
      </w:pPr>
      <m:oMathPara>
        <m:oMathParaPr>
          <m:jc m:val="center"/>
        </m:oMathParaPr>
        <m:oMath>
          <m:r>
            <m:rPr>
              <m:sty m:val="p"/>
            </m:rPr>
            <m:t>⟨</m:t>
          </m:r>
          <m:r>
            <m:t>s</m:t>
          </m:r>
          <m:sSub>
            <m:e>
              <m:r>
                <m:rPr>
                  <m:sty m:val="p"/>
                </m:rPr>
                <m:t>⟩</m:t>
              </m:r>
            </m:e>
            <m:sub>
              <m:r>
                <m:rPr>
                  <m:sty m:val="p"/>
                </m:rPr>
                <m:t>∞</m:t>
              </m:r>
            </m:sub>
          </m:sSub>
          <m:r>
            <m:rPr>
              <m:sty m:val="p"/>
            </m:rPr>
            <m:t>(</m:t>
          </m:r>
          <m:r>
            <m:t>V</m:t>
          </m:r>
          <m:r>
            <m:rPr>
              <m:sty m:val="p"/>
            </m:rPr>
            <m:t>)</m:t>
          </m:r>
          <m:r>
            <m:rPr>
              <m:sty m:val="p"/>
            </m:rPr>
            <m:t>=</m:t>
          </m:r>
          <m:f>
            <m:fPr>
              <m:type m:val="bar"/>
            </m:fPr>
            <m:num>
              <m:sSub>
                <m:e>
                  <m:r>
                    <m:t>r</m:t>
                  </m:r>
                </m:e>
                <m:sub>
                  <m:r>
                    <m:rPr>
                      <m:sty m:val="p"/>
                    </m:rPr>
                    <m:t>↑</m:t>
                  </m:r>
                </m:sub>
              </m:sSub>
              <m:r>
                <m:rPr>
                  <m:sty m:val="p"/>
                </m:rPr>
                <m:t>−</m:t>
              </m:r>
              <m:sSub>
                <m:e>
                  <m:r>
                    <m:t>r</m:t>
                  </m:r>
                </m:e>
                <m:sub>
                  <m:r>
                    <m:rPr>
                      <m:sty m:val="p"/>
                    </m:rPr>
                    <m:t>↓</m:t>
                  </m:r>
                </m:sub>
              </m:sSub>
            </m:num>
            <m:den>
              <m:sSub>
                <m:e>
                  <m:r>
                    <m:t>r</m:t>
                  </m:r>
                </m:e>
                <m:sub>
                  <m:r>
                    <m:rPr>
                      <m:sty m:val="p"/>
                    </m:rPr>
                    <m:t>↑</m:t>
                  </m:r>
                </m:sub>
              </m:sSub>
              <m:r>
                <m:rPr>
                  <m:sty m:val="p"/>
                </m:rPr>
                <m:t>+</m:t>
              </m:r>
              <m:sSub>
                <m:e>
                  <m:r>
                    <m:t>r</m:t>
                  </m:r>
                </m:e>
                <m:sub>
                  <m:r>
                    <m:rPr>
                      <m:sty m:val="p"/>
                    </m:rPr>
                    <m:t>↓</m:t>
                  </m:r>
                </m:sub>
              </m:sSub>
            </m:den>
          </m:f>
          <m:r>
            <m:rPr>
              <m:sty m:val="p"/>
            </m:rPr>
            <m:t>=</m:t>
          </m:r>
          <m:r>
            <m:rPr>
              <m:sty m:val="p"/>
            </m:rPr>
            <m:t>tanh</m:t>
          </m:r>
          <m:r>
            <m:t>​</m:t>
          </m:r>
          <m:d>
            <m:dPr>
              <m:begChr m:val="("/>
              <m:sepChr m:val=""/>
              <m:endChr m:val=")"/>
              <m:grow/>
            </m:dPr>
            <m:e>
              <m:r>
                <m:rPr>
                  <m:sty m:val="p"/>
                </m:rPr>
                <m:t>Δ</m:t>
              </m:r>
              <m:r>
                <m:t>V</m:t>
              </m:r>
              <m:r>
                <m:rPr>
                  <m:sty m:val="p"/>
                </m:rPr>
                <m:t>/</m:t>
              </m:r>
              <m:sSub>
                <m:e>
                  <m:r>
                    <m:t>V</m:t>
                  </m:r>
                </m:e>
                <m:sub>
                  <m:r>
                    <m:t>c</m:t>
                  </m:r>
                  <m:r>
                    <m:t>0</m:t>
                  </m:r>
                </m:sub>
              </m:sSub>
            </m:e>
          </m:d>
          <m:r>
            <m:rPr>
              <m:sty m:val="p"/>
            </m:rPr>
            <m:t>,</m:t>
          </m:r>
        </m:oMath>
      </m:oMathPara>
    </w:p>
    <w:p>
      <w:pPr>
        <w:pStyle w:val="FirstParagraph"/>
      </w:pPr>
      <w:r>
        <w:rPr>
          <w:rFonts w:hint="eastAsia"/>
        </w:rPr>
        <w:t xml:space="preserve">零偏处斜率为</w:t>
      </w:r>
      <m:oMath>
        <m:r>
          <m:rPr>
            <m:sty m:val="p"/>
          </m:rPr>
          <m:t>Δ</m:t>
        </m:r>
        <m:r>
          <m:rPr>
            <m:sty m:val="p"/>
          </m:rPr>
          <m:t>/</m:t>
        </m:r>
        <m:sSub>
          <m:e>
            <m:r>
              <m:t>V</m:t>
            </m:r>
          </m:e>
          <m:sub>
            <m:r>
              <m:t>c</m:t>
            </m:r>
            <m:r>
              <m:t>0</m:t>
            </m:r>
          </m:sub>
        </m:sSub>
        <m:r>
          <m:rPr>
            <m:sty m:val="p"/>
          </m:rPr>
          <m:t>≈</m:t>
        </m:r>
        <m:r>
          <m:t>5.7</m:t>
        </m:r>
        <m:r>
          <m:t> </m:t>
        </m:r>
        <m:sSup>
          <m:e>
            <m:r>
              <m:rPr>
                <m:sty m:val="p"/>
              </m:rPr>
              <m:t>V</m:t>
            </m:r>
          </m:e>
          <m:sup>
            <m:r>
              <m:rPr>
                <m:sty m:val="p"/>
              </m:rPr>
              <m:t>−</m:t>
            </m:r>
            <m:r>
              <m:rPr>
                <m:sty m:val="p"/>
              </m:rPr>
              <m:t>1</m:t>
            </m:r>
          </m:sup>
        </m:sSup>
      </m:oMath>
      <w:r>
        <w:rPr>
          <w:rFonts w:hint="eastAsia"/>
        </w:rPr>
        <w:t xml:space="preserve">。弛豫时间给出衰减记忆的时间常数</w:t>
      </w:r>
    </w:p>
    <w:p>
      <w:pPr>
        <w:pStyle w:val="BodyText"/>
      </w:pPr>
      <m:oMathPara>
        <m:oMathParaPr>
          <m:jc m:val="center"/>
        </m:oMathParaPr>
        <m:oMath>
          <m:r>
            <m:t>τ</m:t>
          </m:r>
          <m:r>
            <m:rPr>
              <m:sty m:val="p"/>
            </m:rPr>
            <m:t>(</m:t>
          </m:r>
          <m:r>
            <m:t>V</m:t>
          </m:r>
          <m:r>
            <m:rPr>
              <m:sty m:val="p"/>
            </m:rPr>
            <m:t>)</m:t>
          </m:r>
          <m:r>
            <m:rPr>
              <m:sty m:val="p"/>
            </m:rPr>
            <m:t>=</m:t>
          </m:r>
          <m:f>
            <m:fPr>
              <m:type m:val="bar"/>
            </m:fPr>
            <m:num>
              <m:r>
                <m:t>1</m:t>
              </m:r>
            </m:num>
            <m:den>
              <m:sSub>
                <m:e>
                  <m:r>
                    <m:t>r</m:t>
                  </m:r>
                </m:e>
                <m:sub>
                  <m:r>
                    <m:rPr>
                      <m:sty m:val="p"/>
                    </m:rPr>
                    <m:t>↑</m:t>
                  </m:r>
                </m:sub>
              </m:sSub>
              <m:r>
                <m:rPr>
                  <m:sty m:val="p"/>
                </m:rPr>
                <m:t>+</m:t>
              </m:r>
              <m:sSub>
                <m:e>
                  <m:r>
                    <m:t>r</m:t>
                  </m:r>
                </m:e>
                <m:sub>
                  <m:r>
                    <m:rPr>
                      <m:sty m:val="p"/>
                    </m:rPr>
                    <m:t>↓</m:t>
                  </m:r>
                </m:sub>
              </m:sSub>
            </m:den>
          </m:f>
          <m:r>
            <m:rPr>
              <m:sty m:val="p"/>
            </m:rPr>
            <m:t>,</m:t>
          </m:r>
        </m:oMath>
      </m:oMathPara>
    </w:p>
    <w:p>
      <w:pPr>
        <w:pStyle w:val="FirstParagraph"/>
      </w:pPr>
      <w:r>
        <w:rPr>
          <w:rFonts w:hint="eastAsia"/>
        </w:rPr>
        <w:t xml:space="preserve">在</w:t>
      </w:r>
      <m:oMath>
        <m:r>
          <m:t>V</m:t>
        </m:r>
        <m:r>
          <m:rPr>
            <m:sty m:val="p"/>
          </m:rPr>
          <m:t>=</m:t>
        </m:r>
        <m:r>
          <m:t>0</m:t>
        </m:r>
      </m:oMath>
      <w:r>
        <w:rPr>
          <w:rFonts w:hint="eastAsia"/>
        </w:rPr>
        <w:t xml:space="preserve">处取极大</w:t>
      </w:r>
      <m:oMath>
        <m:sSub>
          <m:e>
            <m:r>
              <m:t>τ</m:t>
            </m:r>
          </m:e>
          <m:sub>
            <m:r>
              <m:rPr>
                <m:sty m:val="p"/>
              </m:rPr>
              <m:t>m</m:t>
            </m:r>
            <m:r>
              <m:rPr>
                <m:sty m:val="p"/>
              </m:rPr>
              <m:t>a</m:t>
            </m:r>
            <m:r>
              <m:rPr>
                <m:sty m:val="p"/>
              </m:rPr>
              <m:t>x</m:t>
            </m:r>
          </m:sub>
        </m:sSub>
        <m:r>
          <m:rPr>
            <m:sty m:val="p"/>
          </m:rPr>
          <m:t>=</m:t>
        </m:r>
        <m:sSub>
          <m:e>
            <m:r>
              <m:t>τ</m:t>
            </m:r>
          </m:e>
          <m:sub>
            <m:r>
              <m:t>0</m:t>
            </m:r>
          </m:sub>
        </m:sSub>
        <m:sSup>
          <m:e>
            <m:r>
              <m:t>e</m:t>
            </m:r>
          </m:e>
          <m:sup>
            <m:r>
              <m:rPr>
                <m:sty m:val="p"/>
              </m:rPr>
              <m:t>Δ</m:t>
            </m:r>
          </m:sup>
        </m:sSup>
        <m:r>
          <m:rPr>
            <m:sty m:val="p"/>
          </m:rPr>
          <m:t>/</m:t>
        </m:r>
        <m:r>
          <m:t>2</m:t>
        </m:r>
      </m:oMath>
      <w:r>
        <w:rPr>
          <w:rFonts w:hint="eastAsia"/>
        </w:rPr>
        <w:t xml:space="preserve">，按第二章Device-A参数</w:t>
      </w:r>
      <w:r>
        <w:t xml:space="preserve"> (</w:t>
      </w:r>
      <m:oMath>
        <m:r>
          <m:rPr>
            <m:sty m:val="p"/>
          </m:rPr>
          <m:t>Δ</m:t>
        </m:r>
        <m:r>
          <m:rPr>
            <m:sty m:val="p"/>
          </m:rPr>
          <m:t>=</m:t>
        </m:r>
        <m:r>
          <m:t>4.91</m:t>
        </m:r>
      </m:oMath>
      <w:r>
        <w:rPr>
          <w:rFonts w:hint="eastAsia"/>
        </w:rPr>
        <w:t xml:space="preserve">，</w:t>
      </w:r>
      <m:oMath>
        <m:sSub>
          <m:e>
            <m:r>
              <m:t>τ</m:t>
            </m:r>
          </m:e>
          <m:sub>
            <m:r>
              <m:t>0</m:t>
            </m:r>
          </m:sub>
        </m:sSub>
        <m:r>
          <m:rPr>
            <m:sty m:val="p"/>
          </m:rPr>
          <m:t>=</m:t>
        </m:r>
        <m:r>
          <m:t>1</m:t>
        </m:r>
        <m:r>
          <m:t> </m:t>
        </m:r>
        <m:r>
          <m:rPr>
            <m:sty m:val="p"/>
          </m:rPr>
          <m:t>n</m:t>
        </m:r>
        <m:r>
          <m:rPr>
            <m:sty m:val="p"/>
          </m:rPr>
          <m:t>s</m:t>
        </m:r>
      </m:oMath>
      <w:r>
        <w:t xml:space="preserve">) </w:t>
      </w:r>
      <w:r>
        <w:rPr>
          <w:rFonts w:hint="eastAsia"/>
        </w:rPr>
        <w:t xml:space="preserve">约为</w:t>
      </w:r>
      <m:oMath>
        <m:r>
          <m:t>68</m:t>
        </m:r>
        <m:r>
          <m:t> </m:t>
        </m:r>
        <m:r>
          <m:rPr>
            <m:sty m:val="p"/>
          </m:rPr>
          <m:t>n</m:t>
        </m:r>
        <m:r>
          <m:rPr>
            <m:sty m:val="p"/>
          </m:rPr>
          <m:t>s</m:t>
        </m:r>
      </m:oMath>
      <w:r>
        <w:rPr>
          <w:rFonts w:hint="eastAsia"/>
        </w:rPr>
        <w:t xml:space="preserve">，并随驱动增大而向</w:t>
      </w:r>
      <m:oMath>
        <m:sSub>
          <m:e>
            <m:r>
              <m:t>τ</m:t>
            </m:r>
          </m:e>
          <m:sub>
            <m:r>
              <m:t>0</m:t>
            </m:r>
          </m:sub>
        </m:sSub>
      </m:oMath>
      <w:r>
        <w:rPr>
          <w:rFonts w:hint="eastAsia"/>
        </w:rPr>
        <w:t xml:space="preserve">收缩。偏置电压因此身兼三重作用：它既是输入注入端口，又同时设定记忆长度与非线性强度。小偏置对应长记忆，大偏置对应强非线性饱和，二者构成RC中经典的记忆与非线性权衡关系，而此处这一关系由一个具有明确物理意义的器件参数所控制。一次完整的储备池前向计算可描述为：输入序列以时变电压注入器件群体，每个节点的磁矩在电压调制下随机演化并保持各自的时间相关，读出层在一个积分窗口内对节点状态取时间或集合平均，得到模拟激活向量，再经训练好的线性层映射到输出。</w:t>
      </w:r>
    </w:p>
    <w:bookmarkEnd w:id="12"/>
    <w:bookmarkStart w:id="32" w:name="既有储备池工作与本章定位"/>
    <w:p>
      <w:pPr>
        <w:pStyle w:val="Heading2"/>
      </w:pPr>
      <w:r>
        <w:t xml:space="preserve">5.2 </w:t>
      </w:r>
      <w:r>
        <w:rPr>
          <w:rFonts w:hint="eastAsia"/>
        </w:rPr>
        <w:t xml:space="preserve">既有储备池工作与本章定位</w:t>
      </w:r>
    </w:p>
    <w:p>
      <w:pPr>
        <w:pStyle w:val="FirstParagraph"/>
      </w:pPr>
      <w:r>
        <w:rPr>
          <w:rFonts w:hint="eastAsia"/>
        </w:rPr>
        <w:t xml:space="preserve">第一章已从物理储备池计算的总体进展</w:t>
      </w:r>
      <w:r>
        <w:t xml:space="preserve"> </w:t>
      </w:r>
      <w:r>
        <w:rPr>
          <w:rFonts w:hint="eastAsia"/>
        </w:rPr>
        <w:t xml:space="preserve">(1.2.4节)</w:t>
      </w:r>
      <w:r>
        <w:t xml:space="preserve"> </w:t>
      </w:r>
      <w:r>
        <w:rPr>
          <w:rFonts w:hint="eastAsia"/>
        </w:rPr>
        <w:t xml:space="preserve">与复用概率二值器件承担时序处理的动机</w:t>
      </w:r>
      <w:r>
        <w:t xml:space="preserve"> </w:t>
      </w:r>
      <w:r>
        <w:rPr>
          <w:rFonts w:hint="eastAsia"/>
        </w:rPr>
        <w:t xml:space="preserve">(1.3.3节)</w:t>
      </w:r>
      <w:r>
        <w:t xml:space="preserve"> </w:t>
      </w:r>
      <w:r>
        <w:rPr>
          <w:rFonts w:hint="eastAsia"/>
        </w:rPr>
        <w:t xml:space="preserve">出发作了概述，本节在此基础上聚焦与超顺磁sMTJ-RC直接相关的工作，对相关实现作一次梳理，可分为四类，各自相对超顺磁sMTJ-RC并做端到端硬件评估这一目标存在缺口。第一类是自旋力矩纳米振荡器</w:t>
      </w:r>
      <w:r>
        <w:t xml:space="preserve"> (STO) </w:t>
      </w:r>
      <w:r>
        <w:rPr>
          <w:rFonts w:hint="eastAsia"/>
        </w:rPr>
        <w:t xml:space="preserve">储备池，以振荡器的非线性瞬态与相位为动力学来源，配合时分复用虚拟节点完成口语数字识别</w:t>
      </w:r>
      <w:r>
        <w:rPr>
          <w:rStyle w:val="FootnoteReference"/>
        </w:rPr>
        <w:footnoteReference w:id="13"/>
      </w:r>
      <w:r>
        <w:rPr>
          <w:rFonts w:hint="eastAsia"/>
        </w:rPr>
        <w:t xml:space="preserve">；其器件是含少量热噪声的确定性连续相位系统，与超顺磁器件的随机两态翻转在机制、噪声结构与读出方式上都不同。Grollier等人的综述系统总结了自旋电子神经形态计算的器件谱系</w:t>
      </w:r>
      <w:r>
        <w:rPr>
          <w:rStyle w:val="FootnoteReference"/>
        </w:rPr>
        <w:footnoteReference w:id="15"/>
      </w:r>
      <w:r>
        <w:rPr>
          <w:rFonts w:hint="eastAsia"/>
        </w:rPr>
        <w:t xml:space="preserve">。第二类是超顺磁与随机MTJ的概率计算，将低势垒sMTJ用作p比特构建概率自旋逻辑、整数分解与玻尔兹曼机</w:t>
      </w:r>
      <w:r>
        <w:rPr>
          <w:rStyle w:val="FootnoteReference"/>
        </w:rPr>
        <w:footnoteReference w:id="17"/>
      </w:r>
      <w:r>
        <w:rPr>
          <w:rStyle w:val="FootnoteReference"/>
        </w:rPr>
        <w:footnoteReference w:id="19"/>
      </w:r>
      <w:r>
        <w:rPr>
          <w:rStyle w:val="FootnoteReference"/>
        </w:rPr>
        <w:footnoteReference w:id="21"/>
      </w:r>
      <w:r>
        <w:rPr>
          <w:rFonts w:hint="eastAsia"/>
        </w:rPr>
        <w:t xml:space="preserve">，第四章已引为最近先例；但其任务是无向图模型的采样与优化，不利用衰减记忆，也不处理时间序列。第三类是其他介质的储备池实现，如忆阻器网络、光子腔与延迟反馈系统</w:t>
      </w:r>
      <w:r>
        <w:rPr>
          <w:rStyle w:val="FootnoteReference"/>
        </w:rPr>
        <w:footnoteReference w:id="23"/>
      </w:r>
      <w:r>
        <w:rPr>
          <w:rFonts w:hint="eastAsia"/>
        </w:rPr>
        <w:t xml:space="preserve">，它们在各自介质内已较为成熟，但器件物理与能耗模型均与本工作不通用。第四类是RC理论本身，回声状态网络与液体状态机奠定了固定随机储备池加训练读出的范式</w:t>
      </w:r>
      <w:r>
        <w:rPr>
          <w:rStyle w:val="FootnoteReference"/>
        </w:rPr>
        <w:footnoteReference w:id="25"/>
      </w:r>
      <w:r>
        <w:rPr>
          <w:rStyle w:val="FootnoteReference"/>
        </w:rPr>
        <w:footnoteReference w:id="27"/>
      </w:r>
      <w:r>
        <w:rPr>
          <w:rFonts w:hint="eastAsia"/>
        </w:rPr>
        <w:t xml:space="preserve">，线性记忆容量</w:t>
      </w:r>
      <w:r>
        <w:rPr>
          <w:rStyle w:val="FootnoteReference"/>
        </w:rPr>
        <w:footnoteReference w:id="29"/>
      </w:r>
      <w:r>
        <w:rPr>
          <w:rFonts w:hint="eastAsia"/>
        </w:rPr>
        <w:t xml:space="preserve">与信息处理容量</w:t>
      </w:r>
      <w:r>
        <w:rPr>
          <w:rStyle w:val="FootnoteReference"/>
        </w:rPr>
        <w:footnoteReference w:id="30"/>
      </w:r>
      <w:r>
        <w:rPr>
          <w:rFonts w:hint="eastAsia"/>
        </w:rPr>
        <w:t xml:space="preserve">给出了量化记忆与非线性的标准指标；本章采用线性记忆容量与正交化的信息处理容量</w:t>
      </w:r>
      <w:r>
        <w:t xml:space="preserve"> </w:t>
      </w:r>
      <w:r>
        <w:rPr>
          <w:rFonts w:hint="eastAsia"/>
        </w:rPr>
        <w:t xml:space="preserve">(Legendre基，度量细节见5.5节)。综合来看，以第二章已校准的sMTJ写概率模型为入口，把同一器件复用为RC的随机两态动力学节点，并在第四章分层仿真器内做端到端的能耗与面积评估及器件优化指导，是上述工作尚未覆盖的交集。本章因此复用第四章已成熟的器件校准、变异、阵列与PPA估算成果，仅在有状态器件演化层与储备池读出层独立实现。</w:t>
      </w:r>
    </w:p>
    <w:bookmarkEnd w:id="32"/>
    <w:bookmarkStart w:id="36" w:name="仿真器扩展与原型验证"/>
    <w:p>
      <w:pPr>
        <w:pStyle w:val="Heading2"/>
      </w:pPr>
      <w:r>
        <w:t xml:space="preserve">5.3 </w:t>
      </w:r>
      <w:r>
        <w:rPr>
          <w:rFonts w:hint="eastAsia"/>
        </w:rPr>
        <w:t xml:space="preserve">仿真器扩展与原型验证</w:t>
      </w:r>
    </w:p>
    <w:p>
      <w:pPr>
        <w:pStyle w:val="FirstParagraph"/>
      </w:pPr>
      <w:r>
        <w:rPr>
          <w:rFonts w:hint="eastAsia"/>
        </w:rPr>
        <w:t xml:space="preserve">本章在第四章六层架构之上新增两个模块，并使之与PBNN前向通路解耦，从而不影响既有网络。设备层新增电报模型，把sMTJ群体建模为有状态的两态随机电报过程。其核心是两态连续时间马尔可夫链在任意步长</w:t>
      </w:r>
      <m:oMath>
        <m:r>
          <m:rPr>
            <m:sty m:val="p"/>
          </m:rPr>
          <m:t>d</m:t>
        </m:r>
        <m:r>
          <m:t>t</m:t>
        </m:r>
      </m:oMath>
      <w:r>
        <w:rPr>
          <w:rFonts w:hint="eastAsia"/>
        </w:rPr>
        <w:t xml:space="preserve">上的精确传播子</w:t>
      </w:r>
    </w:p>
    <w:p>
      <w:pPr>
        <w:pStyle w:val="BodyText"/>
      </w:pPr>
      <m:oMathPara>
        <m:oMathParaPr>
          <m:jc m:val="center"/>
        </m:oMathParaPr>
        <m:oMath>
          <m:r>
            <m:t>P</m:t>
          </m:r>
          <m:d>
            <m:dPr>
              <m:begChr m:val="("/>
              <m:sepChr m:val=""/>
              <m:endChr m:val=")"/>
              <m:grow/>
            </m:dPr>
            <m:e>
              <m:sSub>
                <m:e>
                  <m:r>
                    <m:t>s</m:t>
                  </m:r>
                </m:e>
                <m:sub>
                  <m:r>
                    <m:t>t</m:t>
                  </m:r>
                  <m:r>
                    <m:rPr>
                      <m:sty m:val="p"/>
                    </m:rPr>
                    <m:t>+</m:t>
                  </m:r>
                  <m:r>
                    <m:rPr>
                      <m:sty m:val="p"/>
                    </m:rPr>
                    <m:t>d</m:t>
                  </m:r>
                  <m:r>
                    <m:t>t</m:t>
                  </m:r>
                </m:sub>
              </m:sSub>
              <m:r>
                <m:rPr>
                  <m:sty m:val="p"/>
                </m:rPr>
                <m:t>=</m:t>
              </m:r>
              <m:r>
                <m:rPr>
                  <m:sty m:val="p"/>
                </m:rPr>
                <m:t>+</m:t>
              </m:r>
              <m:r>
                <m:t>1</m:t>
              </m:r>
              <m:r>
                <m:rPr>
                  <m:sty m:val="p"/>
                </m:rPr>
                <m:t>∣</m:t>
              </m:r>
              <m:sSub>
                <m:e>
                  <m:r>
                    <m:t>s</m:t>
                  </m:r>
                </m:e>
                <m:sub>
                  <m:r>
                    <m:t>t</m:t>
                  </m:r>
                </m:sub>
              </m:sSub>
            </m:e>
          </m:d>
          <m:r>
            <m:rPr>
              <m:sty m:val="p"/>
            </m:rPr>
            <m:t>=</m:t>
          </m:r>
          <m:sSub>
            <m:e>
              <m:r>
                <m:t>p</m:t>
              </m:r>
            </m:e>
            <m:sub>
              <m:r>
                <m:rPr>
                  <m:sty m:val="p"/>
                </m:rPr>
                <m:t>∞</m:t>
              </m:r>
            </m:sub>
          </m:sSub>
          <m:r>
            <m:rPr>
              <m:sty m:val="p"/>
            </m:rPr>
            <m:t>+</m:t>
          </m:r>
          <m:d>
            <m:dPr>
              <m:begChr m:val="("/>
              <m:sepChr m:val=""/>
              <m:endChr m:val=")"/>
              <m:grow/>
            </m:dPr>
            <m:e>
              <m:r>
                <m:rPr>
                  <m:scr m:val="double-struck"/>
                  <m:sty m:val="p"/>
                </m:rPr>
                <m:t>1</m:t>
              </m:r>
              <m:r>
                <m:rPr>
                  <m:sty m:val="p"/>
                </m:rPr>
                <m:t>[</m:t>
              </m:r>
              <m:sSub>
                <m:e>
                  <m:r>
                    <m:t>s</m:t>
                  </m:r>
                </m:e>
                <m:sub>
                  <m:r>
                    <m:t>t</m:t>
                  </m:r>
                </m:sub>
              </m:sSub>
              <m:r>
                <m:rPr>
                  <m:sty m:val="p"/>
                </m:rPr>
                <m:t>=</m:t>
              </m:r>
              <m:r>
                <m:rPr>
                  <m:sty m:val="p"/>
                </m:rPr>
                <m:t>+</m:t>
              </m:r>
              <m:r>
                <m:t>1</m:t>
              </m:r>
              <m:r>
                <m:rPr>
                  <m:sty m:val="p"/>
                </m:rPr>
                <m:t>]</m:t>
              </m:r>
              <m:r>
                <m:rPr>
                  <m:sty m:val="p"/>
                </m:rPr>
                <m:t>−</m:t>
              </m:r>
              <m:sSub>
                <m:e>
                  <m:r>
                    <m:t>p</m:t>
                  </m:r>
                </m:e>
                <m:sub>
                  <m:r>
                    <m:rPr>
                      <m:sty m:val="p"/>
                    </m:rPr>
                    <m:t>∞</m:t>
                  </m:r>
                </m:sub>
              </m:sSub>
            </m:e>
          </m:d>
          <m:r>
            <m:t> </m:t>
          </m:r>
          <m:sSup>
            <m:e>
              <m:r>
                <m:t>e</m:t>
              </m:r>
            </m:e>
            <m:sup>
              <m:r>
                <m:rPr>
                  <m:sty m:val="p"/>
                </m:rPr>
                <m:t>−</m:t>
              </m:r>
              <m:r>
                <m:rPr>
                  <m:sty m:val="p"/>
                </m:rPr>
                <m:t>d</m:t>
              </m:r>
              <m:r>
                <m:t>t</m:t>
              </m:r>
              <m:r>
                <m:rPr>
                  <m:sty m:val="p"/>
                </m:rPr>
                <m:t>/</m:t>
              </m:r>
              <m:r>
                <m:t>τ</m:t>
              </m:r>
            </m:sup>
          </m:sSup>
          <m:r>
            <m:rPr>
              <m:sty m:val="p"/>
            </m:rPr>
            <m:t>,</m:t>
          </m:r>
        </m:oMath>
      </m:oMathPara>
    </w:p>
    <w:p>
      <w:pPr>
        <w:pStyle w:val="FirstParagraph"/>
      </w:pPr>
      <w:r>
        <w:rPr>
          <w:rFonts w:hint="eastAsia"/>
        </w:rPr>
        <w:t xml:space="preserve">其中</w:t>
      </w:r>
      <m:oMath>
        <m:sSub>
          <m:e>
            <m:r>
              <m:t>p</m:t>
            </m:r>
          </m:e>
          <m:sub>
            <m:r>
              <m:rPr>
                <m:sty m:val="p"/>
              </m:rPr>
              <m:t>∞</m:t>
            </m:r>
          </m:sub>
        </m:sSub>
        <m:r>
          <m:rPr>
            <m:sty m:val="p"/>
          </m:rPr>
          <m:t>=</m:t>
        </m:r>
        <m:sSub>
          <m:e>
            <m:r>
              <m:t>r</m:t>
            </m:r>
          </m:e>
          <m:sub>
            <m:r>
              <m:rPr>
                <m:sty m:val="p"/>
              </m:rPr>
              <m:t>↑</m:t>
            </m:r>
          </m:sub>
        </m:sSub>
        <m:r>
          <m:rPr>
            <m:sty m:val="p"/>
          </m:rPr>
          <m:t>/</m:t>
        </m:r>
        <m:r>
          <m:rPr>
            <m:sty m:val="p"/>
          </m:rPr>
          <m:t>(</m:t>
        </m:r>
        <m:sSub>
          <m:e>
            <m:r>
              <m:t>r</m:t>
            </m:r>
          </m:e>
          <m:sub>
            <m:r>
              <m:rPr>
                <m:sty m:val="p"/>
              </m:rPr>
              <m:t>↑</m:t>
            </m:r>
          </m:sub>
        </m:sSub>
        <m:r>
          <m:rPr>
            <m:sty m:val="p"/>
          </m:rPr>
          <m:t>+</m:t>
        </m:r>
        <m:sSub>
          <m:e>
            <m:r>
              <m:t>r</m:t>
            </m:r>
          </m:e>
          <m:sub>
            <m:r>
              <m:rPr>
                <m:sty m:val="p"/>
              </m:rPr>
              <m:t>↓</m:t>
            </m:r>
          </m:sub>
        </m:sSub>
        <m:r>
          <m:rPr>
            <m:sty m:val="p"/>
          </m:rPr>
          <m:t>)</m:t>
        </m:r>
      </m:oMath>
      <w:r>
        <w:rPr>
          <w:rFonts w:hint="eastAsia"/>
        </w:rPr>
        <w:t xml:space="preserve">，</w:t>
      </w:r>
      <m:oMath>
        <m:r>
          <m:t>τ</m:t>
        </m:r>
        <m:r>
          <m:rPr>
            <m:sty m:val="p"/>
          </m:rPr>
          <m:t>=</m:t>
        </m:r>
        <m:r>
          <m:t>1</m:t>
        </m:r>
        <m:r>
          <m:rPr>
            <m:sty m:val="p"/>
          </m:rPr>
          <m:t>/</m:t>
        </m:r>
        <m:r>
          <m:rPr>
            <m:sty m:val="p"/>
          </m:rPr>
          <m:t>(</m:t>
        </m:r>
        <m:sSub>
          <m:e>
            <m:r>
              <m:t>r</m:t>
            </m:r>
          </m:e>
          <m:sub>
            <m:r>
              <m:rPr>
                <m:sty m:val="p"/>
              </m:rPr>
              <m:t>↑</m:t>
            </m:r>
          </m:sub>
        </m:sSub>
        <m:r>
          <m:rPr>
            <m:sty m:val="p"/>
          </m:rPr>
          <m:t>+</m:t>
        </m:r>
        <m:sSub>
          <m:e>
            <m:r>
              <m:t>r</m:t>
            </m:r>
          </m:e>
          <m:sub>
            <m:r>
              <m:rPr>
                <m:sty m:val="p"/>
              </m:rPr>
              <m:t>↓</m:t>
            </m:r>
          </m:sub>
        </m:sSub>
        <m:r>
          <m:rPr>
            <m:sty m:val="p"/>
          </m:rPr>
          <m:t>)</m:t>
        </m:r>
      </m:oMath>
      <w:r>
        <w:rPr>
          <w:rFonts w:hint="eastAsia"/>
        </w:rPr>
        <w:t xml:space="preserve">，因而</w:t>
      </w:r>
      <m:oMath>
        <m:r>
          <m:rPr>
            <m:sty m:val="p"/>
          </m:rPr>
          <m:t>d</m:t>
        </m:r>
        <m:r>
          <m:t>t</m:t>
        </m:r>
      </m:oMath>
      <w:r>
        <w:rPr>
          <w:rFonts w:hint="eastAsia"/>
        </w:rPr>
        <w:t xml:space="preserve">无需远小于</w:t>
      </w:r>
      <m:oMath>
        <m:r>
          <m:t>τ</m:t>
        </m:r>
      </m:oMath>
      <w:r>
        <w:rPr>
          <w:rFonts w:hint="eastAsia"/>
        </w:rPr>
        <w:t xml:space="preserve">即可保持数值稳定。该模块以NumPy实现，支持逐器件的</w:t>
      </w:r>
      <m:oMath>
        <m:r>
          <m:rPr>
            <m:sty m:val="p"/>
          </m:rPr>
          <m:t>Δ</m:t>
        </m:r>
      </m:oMath>
      <w:r>
        <w:rPr>
          <w:rFonts w:hint="eastAsia"/>
        </w:rPr>
        <w:t xml:space="preserve">与</w:t>
      </w:r>
      <m:oMath>
        <m:sSub>
          <m:e>
            <m:r>
              <m:t>V</m:t>
            </m:r>
          </m:e>
          <m:sub>
            <m:r>
              <m:t>c</m:t>
            </m:r>
            <m:r>
              <m:t>0</m:t>
            </m:r>
          </m:sub>
        </m:sSub>
      </m:oMath>
      <w:r>
        <w:rPr>
          <w:rFonts w:hint="eastAsia"/>
        </w:rPr>
        <w:t xml:space="preserve">异质性，并复用第二章的速率表达式；为此在器件层新增了连续时间速率接口，属加性改动，第二章既有闭式与回归测试均不受影响。</w:t>
      </w:r>
    </w:p>
    <w:p>
      <w:pPr>
        <w:pStyle w:val="BodyText"/>
      </w:pPr>
      <w:r>
        <w:rPr>
          <w:rFonts w:hint="eastAsia"/>
        </w:rPr>
        <w:t xml:space="preserve">储备池层实现固定随机的节点池及其驱动。节点电压为</w:t>
      </w:r>
      <m:oMath>
        <m:sSub>
          <m:e>
            <m:r>
              <m:t>V</m:t>
            </m:r>
          </m:e>
          <m:sub>
            <m:r>
              <m:t>i</m:t>
            </m:r>
          </m:sub>
        </m:sSub>
        <m:r>
          <m:rPr>
            <m:sty m:val="p"/>
          </m:rPr>
          <m:t>(</m:t>
        </m:r>
        <m:r>
          <m:t>t</m:t>
        </m:r>
        <m:r>
          <m:rPr>
            <m:sty m:val="p"/>
          </m:rPr>
          <m:t>)</m:t>
        </m:r>
        <m:r>
          <m:rPr>
            <m:sty m:val="p"/>
          </m:rPr>
          <m:t>=</m:t>
        </m:r>
        <m:sSub>
          <m:e>
            <m:r>
              <m:t>V</m:t>
            </m:r>
          </m:e>
          <m:sub>
            <m:r>
              <m:rPr>
                <m:sty m:val="p"/>
              </m:rPr>
              <m:t>b</m:t>
            </m:r>
            <m:r>
              <m:rPr>
                <m:sty m:val="p"/>
              </m:rPr>
              <m:t>i</m:t>
            </m:r>
            <m:r>
              <m:rPr>
                <m:sty m:val="p"/>
              </m:rPr>
              <m:t>a</m:t>
            </m:r>
            <m:r>
              <m:rPr>
                <m:sty m:val="p"/>
              </m:rPr>
              <m:t>s</m:t>
            </m:r>
          </m:sub>
        </m:sSub>
        <m:r>
          <m:rPr>
            <m:sty m:val="p"/>
          </m:rPr>
          <m:t>+</m:t>
        </m:r>
        <m:r>
          <m:rPr>
            <m:sty m:val="p"/>
          </m:rPr>
          <m:t>(</m:t>
        </m:r>
        <m:sSub>
          <m:e>
            <m:r>
              <m:t>W</m:t>
            </m:r>
          </m:e>
          <m:sub>
            <m:r>
              <m:rPr>
                <m:sty m:val="p"/>
              </m:rPr>
              <m:t>i</m:t>
            </m:r>
            <m:r>
              <m:rPr>
                <m:sty m:val="p"/>
              </m:rPr>
              <m:t>n</m:t>
            </m:r>
          </m:sub>
        </m:sSub>
        <m:r>
          <m:t>u</m:t>
        </m:r>
        <m:r>
          <m:rPr>
            <m:sty m:val="p"/>
          </m:rPr>
          <m:t>(</m:t>
        </m:r>
        <m:r>
          <m:t>t</m:t>
        </m:r>
        <m:r>
          <m:rPr>
            <m:sty m:val="p"/>
          </m:rPr>
          <m:t>)</m:t>
        </m:r>
        <m:sSub>
          <m:e>
            <m:r>
              <m:rPr>
                <m:sty m:val="p"/>
              </m:rPr>
              <m:t>)</m:t>
            </m:r>
          </m:e>
          <m:sub>
            <m:r>
              <m:t>i</m:t>
            </m:r>
          </m:sub>
        </m:sSub>
        <m:r>
          <m:rPr>
            <m:sty m:val="p"/>
          </m:rPr>
          <m:t>+</m:t>
        </m:r>
        <m:r>
          <m:rPr>
            <m:sty m:val="p"/>
          </m:rPr>
          <m:t>(</m:t>
        </m:r>
        <m:sSub>
          <m:e>
            <m:r>
              <m:t>W</m:t>
            </m:r>
          </m:e>
          <m:sub>
            <m:r>
              <m:rPr>
                <m:sty m:val="p"/>
              </m:rPr>
              <m:t>r</m:t>
            </m:r>
            <m:r>
              <m:rPr>
                <m:sty m:val="p"/>
              </m:rPr>
              <m:t>e</m:t>
            </m:r>
            <m:r>
              <m:rPr>
                <m:sty m:val="p"/>
              </m:rPr>
              <m:t>s</m:t>
            </m:r>
          </m:sub>
        </m:sSub>
        <m:r>
          <m:t>x</m:t>
        </m:r>
        <m:r>
          <m:rPr>
            <m:sty m:val="p"/>
          </m:rPr>
          <m:t>(</m:t>
        </m:r>
        <m:r>
          <m:t>t</m:t>
        </m:r>
        <m:r>
          <m:rPr>
            <m:sty m:val="p"/>
          </m:rPr>
          <m:t>−</m:t>
        </m:r>
        <m:r>
          <m:t>1</m:t>
        </m:r>
        <m:r>
          <m:rPr>
            <m:sty m:val="p"/>
          </m:rPr>
          <m:t>)</m:t>
        </m:r>
        <m:sSub>
          <m:e>
            <m:r>
              <m:rPr>
                <m:sty m:val="p"/>
              </m:rPr>
              <m:t>)</m:t>
            </m:r>
          </m:e>
          <m:sub>
            <m:r>
              <m:t>i</m:t>
            </m:r>
          </m:sub>
        </m:sSub>
      </m:oMath>
      <w:r>
        <w:rPr>
          <w:rFonts w:hint="eastAsia"/>
        </w:rPr>
        <w:t xml:space="preserve">，三项分别为工作点、输入注入与可选的递归耦合，后者为按谱半径标定的固定随机矩阵。由于器件传输</w:t>
      </w:r>
      <m:oMath>
        <m:r>
          <m:rPr>
            <m:sty m:val="p"/>
          </m:rPr>
          <m:t>tanh</m:t>
        </m:r>
        <m:r>
          <m:rPr>
            <m:sty m:val="p"/>
          </m:rPr>
          <m:t>(</m:t>
        </m:r>
        <m:r>
          <m:rPr>
            <m:sty m:val="p"/>
          </m:rPr>
          <m:t>Δ</m:t>
        </m:r>
        <m:r>
          <m:t>V</m:t>
        </m:r>
        <m:r>
          <m:rPr>
            <m:sty m:val="p"/>
          </m:rPr>
          <m:t>/</m:t>
        </m:r>
        <m:sSub>
          <m:e>
            <m:r>
              <m:t>V</m:t>
            </m:r>
          </m:e>
          <m:sub>
            <m:r>
              <m:t>c</m:t>
            </m:r>
            <m:r>
              <m:t>0</m:t>
            </m:r>
          </m:sub>
        </m:sSub>
        <m:r>
          <m:rPr>
            <m:sty m:val="p"/>
          </m:rPr>
          <m:t>)</m:t>
        </m:r>
      </m:oMath>
      <w:r>
        <w:rPr>
          <w:rFonts w:hint="eastAsia"/>
        </w:rPr>
        <w:t xml:space="preserve">的斜率高达</w:t>
      </w:r>
      <m:oMath>
        <m:r>
          <m:t>5.7</m:t>
        </m:r>
        <m:r>
          <m:t> </m:t>
        </m:r>
        <m:sSup>
          <m:e>
            <m:r>
              <m:rPr>
                <m:sty m:val="p"/>
              </m:rPr>
              <m:t>V</m:t>
            </m:r>
          </m:e>
          <m:sup>
            <m:r>
              <m:rPr>
                <m:sty m:val="p"/>
              </m:rPr>
              <m:t>−</m:t>
            </m:r>
            <m:r>
              <m:rPr>
                <m:sty m:val="p"/>
              </m:rPr>
              <m:t>1</m:t>
            </m:r>
          </m:sup>
        </m:sSup>
      </m:oMath>
      <w:r>
        <w:rPr>
          <w:rFonts w:hint="eastAsia"/>
        </w:rPr>
        <w:t xml:space="preserve">，若把耦合直接表达为电压，会产生远超回声状态判据的有效增益，因此本层以回声状态网络的等效量指定输入尺度与谱半径，再除以该斜率换算为器件电压，使储备池稳定工作在回声状态区。读出层为闭式岭回归，是整个系统中唯一被训练的部分。为与硬件一致并抑制散粒噪声，每个逻辑节点由若干独立器件构成集合，在读出窗口内对</w:t>
      </w:r>
      <m:oMath>
        <m:r>
          <m:rPr>
            <m:sty m:val="p"/>
          </m:rPr>
          <m:t>±</m:t>
        </m:r>
        <m:r>
          <m:t>1</m:t>
        </m:r>
      </m:oMath>
      <w:r>
        <w:rPr>
          <w:rFonts w:hint="eastAsia"/>
        </w:rPr>
        <w:t xml:space="preserve">样本取均值得到模拟激活；模块另提供噪声无关的均值场模式，演化期望磁矩，作为理想参照，其作用类比第四章PBNN的软件模式。任务与指标模块提供NARMA-10、Mackey-Glass、记忆容量输入与非线性目标，以及归一化均方根误差</w:t>
      </w:r>
      <w:r>
        <w:t xml:space="preserve"> (NRMSE) </w:t>
      </w:r>
      <w:r>
        <w:rPr>
          <w:rFonts w:hint="eastAsia"/>
        </w:rPr>
        <w:t xml:space="preserve">与线性记忆容量。</w:t>
      </w:r>
    </w:p>
    <w:p>
      <w:pPr>
        <w:pStyle w:val="BodyText"/>
      </w:pPr>
      <w:r>
        <w:rPr>
          <w:rFonts w:hint="eastAsia"/>
        </w:rPr>
        <w:t xml:space="preserve">首先验证该动力学系统确实具备可计算性。图5.2在均值场</w:t>
      </w:r>
      <w:r>
        <w:t xml:space="preserve"> </w:t>
      </w:r>
      <w:r>
        <w:rPr>
          <w:rFonts w:hint="eastAsia"/>
        </w:rPr>
        <w:t xml:space="preserve">(理想，无散粒噪声)</w:t>
      </w:r>
      <w:r>
        <w:t xml:space="preserve"> </w:t>
      </w:r>
      <w:r>
        <w:rPr>
          <w:rFonts w:hint="eastAsia"/>
        </w:rPr>
        <w:t xml:space="preserve">与真实随机采样两种模式下给出原型结果。</w:t>
      </w:r>
    </w:p>
    <w:p>
      <w:pPr>
        <w:pStyle w:val="BodyText"/>
      </w:pPr>
      <w:r>
        <w:drawing>
          <wp:inline>
            <wp:extent cx="5334000" cy="2794975"/>
            <wp:effectExtent b="0" l="0" r="0" t="0"/>
            <wp:docPr descr="" title="" id="34" name="Picture"/>
            <a:graphic>
              <a:graphicData uri="http://schemas.openxmlformats.org/drawingml/2006/picture">
                <pic:pic>
                  <pic:nvPicPr>
                    <pic:cNvPr descr="figs/Chapter05_local_02.png" id="35" name="Picture"/>
                    <pic:cNvPicPr>
                      <a:picLocks noChangeArrowheads="1" noChangeAspect="1"/>
                    </pic:cNvPicPr>
                  </pic:nvPicPr>
                  <pic:blipFill>
                    <a:blip r:embed="rId33"/>
                    <a:stretch>
                      <a:fillRect/>
                    </a:stretch>
                  </pic:blipFill>
                  <pic:spPr bwMode="auto">
                    <a:xfrm>
                      <a:off x="0" y="0"/>
                      <a:ext cx="5334000" cy="2794975"/>
                    </a:xfrm>
                    <a:prstGeom prst="rect">
                      <a:avLst/>
                    </a:prstGeom>
                    <a:noFill/>
                    <a:ln w="9525">
                      <a:noFill/>
                      <a:headEnd/>
                      <a:tailEnd/>
                    </a:ln>
                  </pic:spPr>
                </pic:pic>
              </a:graphicData>
            </a:graphic>
          </wp:inline>
        </w:drawing>
      </w:r>
    </w:p>
    <w:p>
      <w:pPr>
        <w:pStyle w:val="BodyText"/>
      </w:pPr>
      <w:r>
        <w:rPr>
          <w:rFonts w:hint="eastAsia"/>
          <w:b/>
          <w:bCs/>
        </w:rPr>
        <w:t xml:space="preserve">图5.2</w:t>
      </w:r>
      <w:r>
        <w:t xml:space="preserve"> </w:t>
      </w:r>
      <w:r>
        <w:rPr>
          <w:rFonts w:hint="eastAsia"/>
        </w:rPr>
        <w:t xml:space="preserve">sMTJ储备池原型。(a)</w:t>
      </w:r>
      <w:r>
        <w:t xml:space="preserve"> </w:t>
      </w:r>
      <w:r>
        <w:rPr>
          <w:rFonts w:hint="eastAsia"/>
        </w:rPr>
        <w:t xml:space="preserve">器件传输</w:t>
      </w:r>
      <m:oMath>
        <m:r>
          <m:rPr>
            <m:sty m:val="p"/>
          </m:rPr>
          <m:t>tanh</m:t>
        </m:r>
        <m:r>
          <m:rPr>
            <m:sty m:val="p"/>
          </m:rPr>
          <m:t>(</m:t>
        </m:r>
        <m:r>
          <m:rPr>
            <m:sty m:val="p"/>
          </m:rPr>
          <m:t>Δ</m:t>
        </m:r>
        <m:r>
          <m:t>V</m:t>
        </m:r>
        <m:r>
          <m:rPr>
            <m:sty m:val="p"/>
          </m:rPr>
          <m:t>/</m:t>
        </m:r>
        <m:sSub>
          <m:e>
            <m:r>
              <m:t>V</m:t>
            </m:r>
          </m:e>
          <m:sub>
            <m:r>
              <m:t>c</m:t>
            </m:r>
            <m:r>
              <m:t>0</m:t>
            </m:r>
          </m:sub>
        </m:sSub>
        <m:r>
          <m:rPr>
            <m:sty m:val="p"/>
          </m:rPr>
          <m:t>)</m:t>
        </m:r>
      </m:oMath>
      <w:r>
        <w:rPr>
          <w:rFonts w:hint="eastAsia"/>
        </w:rPr>
        <w:t xml:space="preserve">；(b)</w:t>
      </w:r>
      <w:r>
        <w:t xml:space="preserve"> </w:t>
      </w:r>
      <w:r>
        <w:rPr>
          <w:rFonts w:hint="eastAsia"/>
        </w:rPr>
        <w:t xml:space="preserve">相关时间</w:t>
      </w:r>
      <m:oMath>
        <m:r>
          <m:t>τ</m:t>
        </m:r>
        <m:r>
          <m:rPr>
            <m:sty m:val="p"/>
          </m:rPr>
          <m:t>(</m:t>
        </m:r>
        <m:r>
          <m:t>V</m:t>
        </m:r>
        <m:r>
          <m:rPr>
            <m:sty m:val="p"/>
          </m:rPr>
          <m:t>)</m:t>
        </m:r>
      </m:oMath>
      <w:r>
        <w:rPr>
          <w:rFonts w:hint="eastAsia"/>
        </w:rPr>
        <w:t xml:space="preserve">，零偏约</w:t>
      </w:r>
      <m:oMath>
        <m:r>
          <m:t>68</m:t>
        </m:r>
        <m:r>
          <m:t> </m:t>
        </m:r>
        <m:r>
          <m:rPr>
            <m:sty m:val="p"/>
          </m:rPr>
          <m:t>n</m:t>
        </m:r>
        <m:r>
          <m:rPr>
            <m:sty m:val="p"/>
          </m:rPr>
          <m:t>s</m:t>
        </m:r>
      </m:oMath>
      <w:r>
        <w:rPr>
          <w:rFonts w:hint="eastAsia"/>
        </w:rPr>
        <w:t xml:space="preserve">，随偏置收缩；(c)</w:t>
      </w:r>
      <w:r>
        <w:t xml:space="preserve"> </w:t>
      </w:r>
      <w:r>
        <w:rPr>
          <w:rFonts w:hint="eastAsia"/>
        </w:rPr>
        <w:t xml:space="preserve">遗忘曲线，对各延迟</w:t>
      </w:r>
      <m:oMath>
        <m:r>
          <m:t>k</m:t>
        </m:r>
      </m:oMath>
      <w:r>
        <w:rPr>
          <w:rFonts w:hint="eastAsia"/>
        </w:rPr>
        <w:t xml:space="preserve">重建</w:t>
      </w:r>
      <m:oMath>
        <m:r>
          <m:t>u</m:t>
        </m:r>
        <m:r>
          <m:rPr>
            <m:sty m:val="p"/>
          </m:rPr>
          <m:t>(</m:t>
        </m:r>
        <m:r>
          <m:t>t</m:t>
        </m:r>
        <m:r>
          <m:rPr>
            <m:sty m:val="p"/>
          </m:rPr>
          <m:t>−</m:t>
        </m:r>
        <m:r>
          <m:t>k</m:t>
        </m:r>
        <m:r>
          <m:rPr>
            <m:sty m:val="p"/>
          </m:rPr>
          <m:t>)</m:t>
        </m:r>
      </m:oMath>
      <w:r>
        <w:rPr>
          <w:rFonts w:hint="eastAsia"/>
        </w:rPr>
        <w:t xml:space="preserve">的</w:t>
      </w:r>
      <m:oMath>
        <m:sSup>
          <m:e>
            <m:r>
              <m:t>r</m:t>
            </m:r>
          </m:e>
          <m:sup>
            <m:r>
              <m:t>2</m:t>
            </m:r>
          </m:sup>
        </m:sSup>
      </m:oMath>
      <w:r>
        <w:rPr>
          <w:rFonts w:hint="eastAsia"/>
        </w:rPr>
        <w:t xml:space="preserve">，均值场与随机采样均呈衰减记忆；(d)</w:t>
      </w:r>
      <w:r>
        <w:t xml:space="preserve"> </w:t>
      </w:r>
      <w:r>
        <w:rPr>
          <w:rFonts w:hint="eastAsia"/>
        </w:rPr>
        <w:t xml:space="preserve">记忆容量随工作点偏置的变化，零偏附近最大，与</w:t>
      </w:r>
      <m:oMath>
        <m:r>
          <m:t>τ</m:t>
        </m:r>
        <m:r>
          <m:rPr>
            <m:sty m:val="p"/>
          </m:rPr>
          <m:t>(</m:t>
        </m:r>
        <m:r>
          <m:t>V</m:t>
        </m:r>
        <m:r>
          <m:rPr>
            <m:sty m:val="p"/>
          </m:rPr>
          <m:t>)</m:t>
        </m:r>
      </m:oMath>
      <w:r>
        <w:rPr>
          <w:rFonts w:hint="eastAsia"/>
        </w:rPr>
        <w:t xml:space="preserve">在</w:t>
      </w:r>
      <m:oMath>
        <m:r>
          <m:t>V</m:t>
        </m:r>
        <m:r>
          <m:rPr>
            <m:sty m:val="p"/>
          </m:rPr>
          <m:t>=</m:t>
        </m:r>
        <m:r>
          <m:t>0</m:t>
        </m:r>
      </m:oMath>
      <w:r>
        <w:rPr>
          <w:rFonts w:hint="eastAsia"/>
        </w:rPr>
        <w:t xml:space="preserve">取极大一致；(e)</w:t>
      </w:r>
      <w:r>
        <w:t xml:space="preserve"> </w:t>
      </w:r>
      <w:r>
        <w:rPr>
          <w:rFonts w:hint="eastAsia"/>
        </w:rPr>
        <w:t xml:space="preserve">NARMA-10单步预测；(f)</w:t>
      </w:r>
      <w:r>
        <w:t xml:space="preserve"> </w:t>
      </w:r>
      <w:r>
        <w:rPr>
          <w:rFonts w:hint="eastAsia"/>
        </w:rPr>
        <w:t xml:space="preserve">记忆容量随每节点器件数</w:t>
      </w:r>
      <w:r>
        <w:t xml:space="preserve"> </w:t>
      </w:r>
      <w:r>
        <w:rPr>
          <w:rFonts w:hint="eastAsia"/>
        </w:rPr>
        <w:t xml:space="preserve">(集成规模)</w:t>
      </w:r>
      <w:r>
        <w:t xml:space="preserve"> </w:t>
      </w:r>
      <w:r>
        <w:rPr>
          <w:rFonts w:hint="eastAsia"/>
        </w:rPr>
        <w:t xml:space="preserve">的变化，随机采样趋向但低于均值场理想值。</w:t>
      </w:r>
    </w:p>
    <w:p>
      <w:pPr>
        <w:pStyle w:val="BodyText"/>
      </w:pPr>
      <w:r>
        <w:rPr>
          <w:rFonts w:hint="eastAsia"/>
        </w:rPr>
        <w:t xml:space="preserve">均值场模式给出的记忆容量约6.4，证明该储备池作为动力学系统的计算能力；真实随机采样在每节点96器件集成下记忆容量约2.3，NARMA-10的NRMSE约0.79。图5.2(d)</w:t>
      </w:r>
      <w:r>
        <w:t xml:space="preserve"> </w:t>
      </w:r>
      <w:r>
        <w:rPr>
          <w:rFonts w:hint="eastAsia"/>
        </w:rPr>
        <w:t xml:space="preserve">把记忆容量随偏置的变化与5.1节的</w:t>
      </w:r>
      <m:oMath>
        <m:r>
          <m:t>τ</m:t>
        </m:r>
        <m:r>
          <m:rPr>
            <m:sty m:val="p"/>
          </m:rPr>
          <m:t>(</m:t>
        </m:r>
        <m:r>
          <m:t>V</m:t>
        </m:r>
        <m:r>
          <m:rPr>
            <m:sty m:val="p"/>
          </m:rPr>
          <m:t>)</m:t>
        </m:r>
      </m:oMath>
      <w:r>
        <w:rPr>
          <w:rFonts w:hint="eastAsia"/>
        </w:rPr>
        <w:t xml:space="preserve">联系起来：记忆在零偏附近最长，与</w:t>
      </w:r>
      <m:oMath>
        <m:r>
          <m:t>τ</m:t>
        </m:r>
      </m:oMath>
      <w:r>
        <w:rPr>
          <w:rFonts w:hint="eastAsia"/>
        </w:rPr>
        <w:t xml:space="preserve">在</w:t>
      </w:r>
      <m:oMath>
        <m:r>
          <m:t>V</m:t>
        </m:r>
        <m:r>
          <m:rPr>
            <m:sty m:val="p"/>
          </m:rPr>
          <m:t>=</m:t>
        </m:r>
        <m:r>
          <m:t>0</m:t>
        </m:r>
      </m:oMath>
      <w:r>
        <w:rPr>
          <w:rFonts w:hint="eastAsia"/>
        </w:rPr>
        <w:t xml:space="preserve">取极大相互印证。图5.2(f)</w:t>
      </w:r>
      <w:r>
        <w:t xml:space="preserve"> </w:t>
      </w:r>
      <w:r>
        <w:rPr>
          <w:rFonts w:hint="eastAsia"/>
        </w:rPr>
        <w:t xml:space="preserve">揭示了核心硬件问题：节点模拟激活的信号摆幅有限，而单器件二值采样的噪声以集合规模的平方根衰减，因此散粒噪声是真实器件RC的首要限制，且记忆深度与信噪比之间经由</w:t>
      </w:r>
      <m:oMath>
        <m:r>
          <m:rPr>
            <m:sty m:val="p"/>
          </m:rPr>
          <m:t>d</m:t>
        </m:r>
        <m:r>
          <m:t>t</m:t>
        </m:r>
        <m:r>
          <m:rPr>
            <m:sty m:val="p"/>
          </m:rPr>
          <m:t>/</m:t>
        </m:r>
        <m:r>
          <m:t>τ</m:t>
        </m:r>
      </m:oMath>
      <w:r>
        <w:rPr>
          <w:rFonts w:hint="eastAsia"/>
        </w:rPr>
        <w:t xml:space="preserve">存在权衡。这一观察将贯穿后续5.6与5.4节。</w:t>
      </w:r>
    </w:p>
    <w:bookmarkEnd w:id="36"/>
    <w:bookmarkStart w:id="46" w:name="面向rc的器件优化与变异分析"/>
    <w:p>
      <w:pPr>
        <w:pStyle w:val="Heading2"/>
      </w:pPr>
      <w:r>
        <w:t xml:space="preserve">5.4 </w:t>
      </w:r>
      <w:r>
        <w:rPr>
          <w:rFonts w:hint="eastAsia"/>
        </w:rPr>
        <w:t xml:space="preserve">面向RC的器件优化与变异分析</w:t>
      </w:r>
    </w:p>
    <w:p>
      <w:pPr>
        <w:pStyle w:val="FirstParagraph"/>
      </w:pPr>
      <w:r>
        <w:rPr>
          <w:rFonts w:hint="eastAsia"/>
        </w:rPr>
        <w:t xml:space="preserve">面向RC的器件优化构成本章相对既有自旋电子RC工作的主要增量。由于非递归储备池节点的记忆即其弛豫时间</w:t>
      </w:r>
      <m:oMath>
        <m:r>
          <m:t>τ</m:t>
        </m:r>
        <m:r>
          <m:rPr>
            <m:sty m:val="p"/>
          </m:rPr>
          <m:t>=</m:t>
        </m:r>
        <m:sSub>
          <m:e>
            <m:r>
              <m:t>τ</m:t>
            </m:r>
          </m:e>
          <m:sub>
            <m:r>
              <m:t>0</m:t>
            </m:r>
          </m:sub>
        </m:sSub>
        <m:sSup>
          <m:e>
            <m:r>
              <m:t>e</m:t>
            </m:r>
          </m:e>
          <m:sup>
            <m:r>
              <m:rPr>
                <m:sty m:val="p"/>
              </m:rPr>
              <m:t>Δ</m:t>
            </m:r>
          </m:sup>
        </m:sSup>
        <m:r>
          <m:rPr>
            <m:sty m:val="p"/>
          </m:rPr>
          <m:t>/</m:t>
        </m:r>
        <m:r>
          <m:t>2</m:t>
        </m:r>
      </m:oMath>
      <w:r>
        <w:rPr>
          <w:rFonts w:hint="eastAsia"/>
        </w:rPr>
        <w:t xml:space="preserve">，热稳定因子</w:t>
      </w:r>
      <m:oMath>
        <m:r>
          <m:rPr>
            <m:sty m:val="p"/>
          </m:rPr>
          <m:t>Δ</m:t>
        </m:r>
      </m:oMath>
      <w:r>
        <w:rPr>
          <w:rFonts w:hint="eastAsia"/>
        </w:rPr>
        <w:t xml:space="preserve">是首要器件参数；以下扫描全部在均值场模式下进行，使结论归因于器件物理而非散粒噪声。</w:t>
      </w:r>
    </w:p>
    <w:p>
      <w:pPr>
        <w:pStyle w:val="BodyText"/>
      </w:pPr>
      <w:r>
        <w:drawing>
          <wp:inline>
            <wp:extent cx="5334000" cy="3567562"/>
            <wp:effectExtent b="0" l="0" r="0" t="0"/>
            <wp:docPr descr="" title="" id="38" name="Picture"/>
            <a:graphic>
              <a:graphicData uri="http://schemas.openxmlformats.org/drawingml/2006/picture">
                <pic:pic>
                  <pic:nvPicPr>
                    <pic:cNvPr descr="figs/Chapter05_local_03.png" id="39" name="Picture"/>
                    <pic:cNvPicPr>
                      <a:picLocks noChangeArrowheads="1" noChangeAspect="1"/>
                    </pic:cNvPicPr>
                  </pic:nvPicPr>
                  <pic:blipFill>
                    <a:blip r:embed="rId37"/>
                    <a:stretch>
                      <a:fillRect/>
                    </a:stretch>
                  </pic:blipFill>
                  <pic:spPr bwMode="auto">
                    <a:xfrm>
                      <a:off x="0" y="0"/>
                      <a:ext cx="5334000" cy="3567562"/>
                    </a:xfrm>
                    <a:prstGeom prst="rect">
                      <a:avLst/>
                    </a:prstGeom>
                    <a:noFill/>
                    <a:ln w="9525">
                      <a:noFill/>
                      <a:headEnd/>
                      <a:tailEnd/>
                    </a:ln>
                  </pic:spPr>
                </pic:pic>
              </a:graphicData>
            </a:graphic>
          </wp:inline>
        </w:drawing>
      </w:r>
    </w:p>
    <w:p>
      <w:pPr>
        <w:pStyle w:val="BodyText"/>
      </w:pPr>
      <w:r>
        <w:rPr>
          <w:rFonts w:hint="eastAsia"/>
          <w:b/>
          <w:bCs/>
        </w:rPr>
        <w:t xml:space="preserve">图5.3</w:t>
      </w:r>
      <w:r>
        <w:t xml:space="preserve"> </w:t>
      </w:r>
      <w:r>
        <w:rPr>
          <w:rFonts w:hint="eastAsia"/>
        </w:rPr>
        <w:t xml:space="preserve">器件优化指导。(a)</w:t>
      </w:r>
      <w:r>
        <w:t xml:space="preserve"> </w:t>
      </w:r>
      <w:r>
        <w:rPr>
          <w:rFonts w:hint="eastAsia"/>
        </w:rPr>
        <w:t xml:space="preserve">记忆容量在</w:t>
      </w:r>
      <m:oMath>
        <m:r>
          <m:rPr>
            <m:sty m:val="p"/>
          </m:rPr>
          <m:t>(</m:t>
        </m:r>
        <m:r>
          <m:rPr>
            <m:sty m:val="p"/>
          </m:rPr>
          <m:t>Δ</m:t>
        </m:r>
        <m:r>
          <m:rPr>
            <m:sty m:val="p"/>
          </m:rPr>
          <m:t>,</m:t>
        </m:r>
        <m:r>
          <m:t> </m:t>
        </m:r>
      </m:oMath>
      <w:r>
        <w:rPr>
          <w:rFonts w:hint="eastAsia"/>
        </w:rPr>
        <w:t xml:space="preserve">任务步长</w:t>
      </w:r>
      <m:oMath>
        <m:r>
          <m:rPr>
            <m:sty m:val="p"/>
          </m:rPr>
          <m:t>d</m:t>
        </m:r>
        <m:r>
          <m:t>t</m:t>
        </m:r>
        <m:r>
          <m:rPr>
            <m:sty m:val="p"/>
          </m:rPr>
          <m:t>)</m:t>
        </m:r>
      </m:oMath>
      <w:r>
        <w:rPr>
          <w:rFonts w:hint="eastAsia"/>
        </w:rPr>
        <w:t xml:space="preserve">平面上的等高线，呈对角脊；(b)</w:t>
      </w:r>
      <w:r>
        <w:t xml:space="preserve"> </w:t>
      </w:r>
      <w:r>
        <w:rPr>
          <w:rFonts w:hint="eastAsia"/>
        </w:rPr>
        <w:t xml:space="preserve">最优</w:t>
      </w:r>
      <m:oMath>
        <m:sSup>
          <m:e>
            <m:r>
              <m:rPr>
                <m:sty m:val="p"/>
              </m:rPr>
              <m:t>Δ</m:t>
            </m:r>
          </m:e>
          <m:sup>
            <m:r>
              <m:rPr>
                <m:sty m:val="p"/>
              </m:rPr>
              <m:t>*</m:t>
            </m:r>
          </m:sup>
        </m:sSup>
      </m:oMath>
      <w:r>
        <w:rPr>
          <w:rFonts w:hint="eastAsia"/>
        </w:rPr>
        <w:t xml:space="preserve">与对应</w:t>
      </w:r>
      <m:oMath>
        <m:sSup>
          <m:e>
            <m:r>
              <m:t>τ</m:t>
            </m:r>
          </m:e>
          <m:sup>
            <m:r>
              <m:rPr>
                <m:sty m:val="p"/>
              </m:rPr>
              <m:t>*</m:t>
            </m:r>
          </m:sup>
        </m:sSup>
      </m:oMath>
      <w:r>
        <w:rPr>
          <w:rFonts w:hint="eastAsia"/>
        </w:rPr>
        <w:t xml:space="preserve">随</w:t>
      </w:r>
      <m:oMath>
        <m:r>
          <m:rPr>
            <m:sty m:val="p"/>
          </m:rPr>
          <m:t>d</m:t>
        </m:r>
        <m:r>
          <m:t>t</m:t>
        </m:r>
      </m:oMath>
      <w:r>
        <w:rPr>
          <w:rFonts w:hint="eastAsia"/>
        </w:rPr>
        <w:t xml:space="preserve">的标度，给出时间尺度匹配关系；(c)</w:t>
      </w:r>
      <w:r>
        <w:t xml:space="preserve"> </w:t>
      </w:r>
      <w:r>
        <w:rPr>
          <w:rFonts w:hint="eastAsia"/>
        </w:rPr>
        <w:t xml:space="preserve">固定</w:t>
      </w:r>
      <m:oMath>
        <m:r>
          <m:rPr>
            <m:sty m:val="p"/>
          </m:rPr>
          <m:t>d</m:t>
        </m:r>
        <m:r>
          <m:t>t</m:t>
        </m:r>
        <m:r>
          <m:rPr>
            <m:sty m:val="p"/>
          </m:rPr>
          <m:t>=</m:t>
        </m:r>
        <m:r>
          <m:t>8</m:t>
        </m:r>
        <m:r>
          <m:t> </m:t>
        </m:r>
        <m:r>
          <m:rPr>
            <m:sty m:val="p"/>
          </m:rPr>
          <m:t>n</m:t>
        </m:r>
        <m:r>
          <m:rPr>
            <m:sty m:val="p"/>
          </m:rPr>
          <m:t>s</m:t>
        </m:r>
      </m:oMath>
      <w:r>
        <w:rPr>
          <w:rFonts w:hint="eastAsia"/>
        </w:rPr>
        <w:t xml:space="preserve">时记忆容量随</w:t>
      </w:r>
      <m:oMath>
        <m:r>
          <m:rPr>
            <m:sty m:val="p"/>
          </m:rPr>
          <m:t>Δ</m:t>
        </m:r>
      </m:oMath>
      <w:r>
        <w:rPr>
          <w:rFonts w:hint="eastAsia"/>
        </w:rPr>
        <w:t xml:space="preserve">的曲线，RC最优势垒明显低于PBNN写器件；(d)</w:t>
      </w:r>
      <w:r>
        <w:t xml:space="preserve"> </w:t>
      </w:r>
      <w:r>
        <w:rPr>
          <w:rFonts w:hint="eastAsia"/>
        </w:rPr>
        <w:t xml:space="preserve">记忆与非线性的权衡前沿，由工作点偏置扫描得到。</w:t>
      </w:r>
    </w:p>
    <w:p>
      <w:pPr>
        <w:pStyle w:val="BodyText"/>
      </w:pPr>
      <w:r>
        <w:rPr>
          <w:rFonts w:hint="eastAsia"/>
        </w:rPr>
        <w:t xml:space="preserve">两项结论可直接用于器件设计。第一项是势垒匹配。在固定任务步长下，记忆容量随</w:t>
      </w:r>
      <m:oMath>
        <m:r>
          <m:rPr>
            <m:sty m:val="p"/>
          </m:rPr>
          <m:t>Δ</m:t>
        </m:r>
      </m:oMath>
      <w:r>
        <w:rPr>
          <w:rFonts w:hint="eastAsia"/>
        </w:rPr>
        <w:t xml:space="preserve">存在内部最优：过低则</w:t>
      </w:r>
      <m:oMath>
        <m:r>
          <m:t>τ</m:t>
        </m:r>
        <m:r>
          <m:rPr>
            <m:sty m:val="p"/>
          </m:rPr>
          <m:t>≪</m:t>
        </m:r>
        <m:r>
          <m:rPr>
            <m:sty m:val="p"/>
          </m:rPr>
          <m:t>d</m:t>
        </m:r>
        <m:r>
          <m:t>t</m:t>
        </m:r>
      </m:oMath>
      <w:r>
        <w:rPr>
          <w:rFonts w:hint="eastAsia"/>
        </w:rPr>
        <w:t xml:space="preserve">而无记忆，过高则</w:t>
      </w:r>
      <m:oMath>
        <m:r>
          <m:t>τ</m:t>
        </m:r>
        <m:r>
          <m:rPr>
            <m:sty m:val="p"/>
          </m:rPr>
          <m:t>≫</m:t>
        </m:r>
        <m:r>
          <m:rPr>
            <m:sty m:val="p"/>
          </m:rPr>
          <m:t>d</m:t>
        </m:r>
        <m:r>
          <m:t>t</m:t>
        </m:r>
      </m:oMath>
      <w:r>
        <w:rPr>
          <w:rFonts w:hint="eastAsia"/>
        </w:rPr>
        <w:t xml:space="preserve">，过度积分而丧失回声状态。对</w:t>
      </w:r>
      <m:oMath>
        <m:r>
          <m:rPr>
            <m:sty m:val="p"/>
          </m:rPr>
          <m:t>d</m:t>
        </m:r>
        <m:r>
          <m:t>t</m:t>
        </m:r>
        <m:r>
          <m:rPr>
            <m:sty m:val="p"/>
          </m:rPr>
          <m:t>=</m:t>
        </m:r>
        <m:r>
          <m:t>8</m:t>
        </m:r>
        <m:r>
          <m:t> </m:t>
        </m:r>
        <m:r>
          <m:rPr>
            <m:sty m:val="p"/>
          </m:rPr>
          <m:t>n</m:t>
        </m:r>
        <m:r>
          <m:rPr>
            <m:sty m:val="p"/>
          </m:rPr>
          <m:t>s</m:t>
        </m:r>
      </m:oMath>
      <w:r>
        <w:rPr>
          <w:rFonts w:hint="eastAsia"/>
        </w:rPr>
        <w:t xml:space="preserve">，记忆容量在</w:t>
      </w:r>
      <m:oMath>
        <m:r>
          <m:rPr>
            <m:sty m:val="p"/>
          </m:rPr>
          <m:t>Δ</m:t>
        </m:r>
        <m:r>
          <m:rPr>
            <m:sty m:val="p"/>
          </m:rPr>
          <m:t>≈</m:t>
        </m:r>
        <m:r>
          <m:t>3.5</m:t>
        </m:r>
        <m:r>
          <m:rPr>
            <m:nor/>
            <m:sty m:val="p"/>
          </m:rPr>
          <m:t>–</m:t>
        </m:r>
        <m:r>
          <m:t>4.3</m:t>
        </m:r>
      </m:oMath>
      <w:r>
        <w:t xml:space="preserve"> </w:t>
      </w:r>
      <w:r>
        <w:rPr>
          <w:rFonts w:hint="eastAsia"/>
        </w:rPr>
        <w:t xml:space="preserve">(对应</w:t>
      </w:r>
      <m:oMath>
        <m:r>
          <m:t>τ</m:t>
        </m:r>
        <m:r>
          <m:rPr>
            <m:sty m:val="p"/>
          </m:rPr>
          <m:t>≈</m:t>
        </m:r>
        <m:r>
          <m:t>20</m:t>
        </m:r>
        <m:r>
          <m:rPr>
            <m:nor/>
            <m:sty m:val="p"/>
          </m:rPr>
          <m:t>–</m:t>
        </m:r>
        <m:r>
          <m:t>40</m:t>
        </m:r>
        <m:r>
          <m:t> </m:t>
        </m:r>
        <m:r>
          <m:rPr>
            <m:sty m:val="p"/>
          </m:rPr>
          <m:t>n</m:t>
        </m:r>
        <m:r>
          <m:rPr>
            <m:sty m:val="p"/>
          </m:rPr>
          <m:t>s</m:t>
        </m:r>
      </m:oMath>
      <w:r>
        <w:t xml:space="preserve">) </w:t>
      </w:r>
      <w:r>
        <w:rPr>
          <w:rFonts w:hint="eastAsia"/>
        </w:rPr>
        <w:t xml:space="preserve">构成一段平缓的高原，峰值约在</w:t>
      </w:r>
      <m:oMath>
        <m:r>
          <m:rPr>
            <m:sty m:val="p"/>
          </m:rPr>
          <m:t>Δ</m:t>
        </m:r>
        <m:r>
          <m:rPr>
            <m:sty m:val="p"/>
          </m:rPr>
          <m:t>≈</m:t>
        </m:r>
        <m:r>
          <m:t>4.1</m:t>
        </m:r>
      </m:oMath>
      <w:r>
        <w:rPr>
          <w:rFonts w:hint="eastAsia"/>
        </w:rPr>
        <w:t xml:space="preserve">，整段都明显低于第二章PBNN写器件的</w:t>
      </w:r>
      <m:oMath>
        <m:r>
          <m:rPr>
            <m:sty m:val="p"/>
          </m:rPr>
          <m:t>Δ</m:t>
        </m:r>
        <m:r>
          <m:rPr>
            <m:sty m:val="p"/>
          </m:rPr>
          <m:t>=</m:t>
        </m:r>
        <m:r>
          <m:t>4.91</m:t>
        </m:r>
      </m:oMath>
      <w:r>
        <w:rPr>
          <w:rFonts w:hint="eastAsia"/>
        </w:rPr>
        <w:t xml:space="preserve">；面向RC优化的sMTJ因此应比面向PBNN写操作优化的器件势垒更低，更接近超顺磁临界稳定区。第二项是时间尺度匹配：最优弛豫时间随任务步长近似线性增长，约为输入采样周期的二至三倍</w:t>
      </w:r>
      <w:r>
        <w:t xml:space="preserve"> </w:t>
      </w:r>
      <w:r>
        <w:rPr>
          <w:rFonts w:hint="eastAsia"/>
        </w:rPr>
        <w:t xml:space="preserve">(图5.3(b))，任务越慢，所需</w:t>
      </w:r>
      <m:oMath>
        <m:r>
          <m:rPr>
            <m:sty m:val="p"/>
          </m:rPr>
          <m:t>Δ</m:t>
        </m:r>
      </m:oMath>
      <w:r>
        <w:rPr>
          <w:rFonts w:hint="eastAsia"/>
        </w:rPr>
        <w:t xml:space="preserve">越高。图5.3(d)</w:t>
      </w:r>
      <w:r>
        <w:t xml:space="preserve"> </w:t>
      </w:r>
      <w:r>
        <w:rPr>
          <w:rFonts w:hint="eastAsia"/>
        </w:rPr>
        <w:t xml:space="preserve">进一步说明，由于</w:t>
      </w:r>
      <m:oMath>
        <m:r>
          <m:rPr>
            <m:sty m:val="p"/>
          </m:rPr>
          <m:t>tanh</m:t>
        </m:r>
      </m:oMath>
      <w:r>
        <w:rPr>
          <w:rFonts w:hint="eastAsia"/>
        </w:rPr>
        <w:t xml:space="preserve">是奇函数，零偏时器件只具备奇阶非线性，提高工作点偏置可换取偶阶非线性，但以记忆为代价，二者构成可量化的权衡前沿，为按任务的记忆与非线性需求选择工作点提供依据。</w:t>
      </w:r>
    </w:p>
    <w:p>
      <w:pPr>
        <w:pStyle w:val="BodyText"/>
      </w:pPr>
      <w:r>
        <w:rPr>
          <w:rFonts w:hint="eastAsia"/>
        </w:rPr>
        <w:t xml:space="preserve">温度提供了调节</w:t>
      </w:r>
      <m:oMath>
        <m:r>
          <m:t>τ</m:t>
        </m:r>
      </m:oMath>
      <w:r>
        <w:rPr>
          <w:rFonts w:hint="eastAsia"/>
        </w:rPr>
        <w:t xml:space="preserve">的第二条途径，也是部署中的现实挑战。由</w:t>
      </w:r>
      <m:oMath>
        <m:r>
          <m:rPr>
            <m:sty m:val="p"/>
          </m:rPr>
          <m:t>Δ</m:t>
        </m:r>
        <m:r>
          <m:rPr>
            <m:sty m:val="p"/>
          </m:rPr>
          <m:t>=</m:t>
        </m:r>
        <m:sSub>
          <m:e>
            <m:r>
              <m:t>E</m:t>
            </m:r>
          </m:e>
          <m:sub>
            <m:r>
              <m:t>b</m:t>
            </m:r>
          </m:sub>
        </m:sSub>
        <m:r>
          <m:rPr>
            <m:sty m:val="p"/>
          </m:rPr>
          <m:t>/</m:t>
        </m:r>
        <m:r>
          <m:rPr>
            <m:sty m:val="p"/>
          </m:rPr>
          <m:t>(</m:t>
        </m:r>
        <m:sSub>
          <m:e>
            <m:r>
              <m:t>k</m:t>
            </m:r>
          </m:e>
          <m:sub>
            <m:r>
              <m:t>B</m:t>
            </m:r>
          </m:sub>
        </m:sSub>
        <m:r>
          <m:t>T</m:t>
        </m:r>
        <m:r>
          <m:rPr>
            <m:sty m:val="p"/>
          </m:rPr>
          <m:t>)</m:t>
        </m:r>
      </m:oMath>
      <w:r>
        <w:rPr>
          <w:rFonts w:hint="eastAsia"/>
        </w:rPr>
        <w:t xml:space="preserve">，在固定势垒高度下</w:t>
      </w:r>
      <m:oMath>
        <m:r>
          <m:rPr>
            <m:sty m:val="p"/>
          </m:rPr>
          <m:t>Δ</m:t>
        </m:r>
        <m:r>
          <m:rPr>
            <m:sty m:val="p"/>
          </m:rPr>
          <m:t>(</m:t>
        </m:r>
        <m:r>
          <m:t>T</m:t>
        </m:r>
        <m:r>
          <m:rPr>
            <m:sty m:val="p"/>
          </m:rPr>
          <m:t>)</m:t>
        </m:r>
        <m:r>
          <m:rPr>
            <m:sty m:val="p"/>
          </m:rPr>
          <m:t>=</m:t>
        </m:r>
        <m:sSub>
          <m:e>
            <m:r>
              <m:rPr>
                <m:sty m:val="p"/>
              </m:rPr>
              <m:t>Δ</m:t>
            </m:r>
          </m:e>
          <m:sub>
            <m:r>
              <m:t>300</m:t>
            </m:r>
          </m:sub>
        </m:sSub>
        <m:r>
          <m:rPr>
            <m:sty m:val="p"/>
          </m:rPr>
          <m:t>⋅</m:t>
        </m:r>
        <m:r>
          <m:t>300</m:t>
        </m:r>
        <m:r>
          <m:rPr>
            <m:sty m:val="p"/>
          </m:rPr>
          <m:t>/</m:t>
        </m:r>
        <m:r>
          <m:t>T</m:t>
        </m:r>
      </m:oMath>
      <w:r>
        <w:rPr>
          <w:rFonts w:hint="eastAsia"/>
        </w:rPr>
        <w:t xml:space="preserve">，而</w:t>
      </w:r>
      <m:oMath>
        <m:r>
          <m:t>τ</m:t>
        </m:r>
      </m:oMath>
      <w:r>
        <w:rPr>
          <w:rFonts w:hint="eastAsia"/>
        </w:rPr>
        <w:t xml:space="preserve">指数依赖</w:t>
      </w:r>
      <m:oMath>
        <m:r>
          <m:rPr>
            <m:sty m:val="p"/>
          </m:rPr>
          <m:t>Δ</m:t>
        </m:r>
      </m:oMath>
      <w:r>
        <w:rPr>
          <w:rFonts w:hint="eastAsia"/>
        </w:rPr>
        <w:t xml:space="preserve">，故</w:t>
      </w:r>
      <m:oMath>
        <m:r>
          <m:t>τ</m:t>
        </m:r>
      </m:oMath>
      <w:r>
        <w:rPr>
          <w:rFonts w:hint="eastAsia"/>
        </w:rPr>
        <w:t xml:space="preserve">对温度极其敏感。图5.4给出该敏感性及其补偿。</w:t>
      </w:r>
    </w:p>
    <w:p>
      <w:pPr>
        <w:pStyle w:val="BodyText"/>
      </w:pPr>
      <w:r>
        <w:drawing>
          <wp:inline>
            <wp:extent cx="5334000" cy="3589401"/>
            <wp:effectExtent b="0" l="0" r="0" t="0"/>
            <wp:docPr descr="" title="" id="41" name="Picture"/>
            <a:graphic>
              <a:graphicData uri="http://schemas.openxmlformats.org/drawingml/2006/picture">
                <pic:pic>
                  <pic:nvPicPr>
                    <pic:cNvPr descr="figs/Chapter05_local_04.png" id="42" name="Picture"/>
                    <pic:cNvPicPr>
                      <a:picLocks noChangeArrowheads="1" noChangeAspect="1"/>
                    </pic:cNvPicPr>
                  </pic:nvPicPr>
                  <pic:blipFill>
                    <a:blip r:embed="rId40"/>
                    <a:stretch>
                      <a:fillRect/>
                    </a:stretch>
                  </pic:blipFill>
                  <pic:spPr bwMode="auto">
                    <a:xfrm>
                      <a:off x="0" y="0"/>
                      <a:ext cx="5334000" cy="3589401"/>
                    </a:xfrm>
                    <a:prstGeom prst="rect">
                      <a:avLst/>
                    </a:prstGeom>
                    <a:noFill/>
                    <a:ln w="9525">
                      <a:noFill/>
                      <a:headEnd/>
                      <a:tailEnd/>
                    </a:ln>
                  </pic:spPr>
                </pic:pic>
              </a:graphicData>
            </a:graphic>
          </wp:inline>
        </w:drawing>
      </w:r>
    </w:p>
    <w:p>
      <w:pPr>
        <w:pStyle w:val="BodyText"/>
      </w:pPr>
      <w:r>
        <w:rPr>
          <w:rFonts w:hint="eastAsia"/>
          <w:b/>
          <w:bCs/>
        </w:rPr>
        <w:t xml:space="preserve">图5.4</w:t>
      </w:r>
      <w:r>
        <w:t xml:space="preserve"> </w:t>
      </w:r>
      <w:r>
        <w:rPr>
          <w:rFonts w:hint="eastAsia"/>
        </w:rPr>
        <w:t xml:space="preserve">温度作为</w:t>
      </w:r>
      <m:oMath>
        <m:r>
          <m:t>τ</m:t>
        </m:r>
      </m:oMath>
      <w:r>
        <w:rPr>
          <w:rFonts w:hint="eastAsia"/>
        </w:rPr>
        <w:t xml:space="preserve">的调节途径。(a)</w:t>
      </w:r>
      <w:r>
        <w:t xml:space="preserve"> </w:t>
      </w:r>
      <w:r>
        <w:rPr>
          <w:rFonts w:hint="eastAsia"/>
        </w:rPr>
        <w:t xml:space="preserve">零偏</w:t>
      </w:r>
      <m:oMath>
        <m:r>
          <m:t>τ</m:t>
        </m:r>
        <m:r>
          <m:rPr>
            <m:sty m:val="p"/>
          </m:rPr>
          <m:t>(</m:t>
        </m:r>
        <m:r>
          <m:t>T</m:t>
        </m:r>
        <m:r>
          <m:rPr>
            <m:sty m:val="p"/>
          </m:rPr>
          <m:t>)</m:t>
        </m:r>
      </m:oMath>
      <w:r>
        <w:rPr>
          <w:rFonts w:hint="eastAsia"/>
        </w:rPr>
        <w:t xml:space="preserve">在250至410</w:t>
      </w:r>
      <w:r>
        <w:t xml:space="preserve"> </w:t>
      </w:r>
      <w:r>
        <w:rPr>
          <w:rFonts w:hint="eastAsia"/>
        </w:rPr>
        <w:t xml:space="preserve">K间从约</w:t>
      </w:r>
      <m:oMath>
        <m:r>
          <m:t>181</m:t>
        </m:r>
        <m:r>
          <m:t> </m:t>
        </m:r>
        <m:r>
          <m:rPr>
            <m:sty m:val="p"/>
          </m:rPr>
          <m:t>n</m:t>
        </m:r>
        <m:r>
          <m:rPr>
            <m:sty m:val="p"/>
          </m:rPr>
          <m:t>s</m:t>
        </m:r>
      </m:oMath>
      <w:r>
        <w:rPr>
          <w:rFonts w:hint="eastAsia"/>
        </w:rPr>
        <w:t xml:space="preserve">降至约</w:t>
      </w:r>
      <m:oMath>
        <m:r>
          <m:t>18</m:t>
        </m:r>
        <m:r>
          <m:t> </m:t>
        </m:r>
        <m:r>
          <m:rPr>
            <m:sty m:val="p"/>
          </m:rPr>
          <m:t>n</m:t>
        </m:r>
        <m:r>
          <m:rPr>
            <m:sty m:val="p"/>
          </m:rPr>
          <m:t>s</m:t>
        </m:r>
      </m:oMath>
      <w:r>
        <w:rPr>
          <w:rFonts w:hint="eastAsia"/>
        </w:rPr>
        <w:t xml:space="preserve">，呈Arrhenius式强敏感；(b)</w:t>
      </w:r>
      <w:r>
        <w:t xml:space="preserve"> </w:t>
      </w:r>
      <w:r>
        <w:rPr>
          <w:rFonts w:hint="eastAsia"/>
        </w:rPr>
        <w:t xml:space="preserve">固定时钟</w:t>
      </w:r>
      <m:oMath>
        <m:r>
          <m:rPr>
            <m:sty m:val="p"/>
          </m:rPr>
          <m:t>d</m:t>
        </m:r>
        <m:r>
          <m:t>t</m:t>
        </m:r>
        <m:r>
          <m:rPr>
            <m:sty m:val="p"/>
          </m:rPr>
          <m:t>=</m:t>
        </m:r>
        <m:r>
          <m:t>8</m:t>
        </m:r>
        <m:r>
          <m:t> </m:t>
        </m:r>
        <m:r>
          <m:rPr>
            <m:sty m:val="p"/>
          </m:rPr>
          <m:t>n</m:t>
        </m:r>
        <m:r>
          <m:rPr>
            <m:sty m:val="p"/>
          </m:rPr>
          <m:t>s</m:t>
        </m:r>
      </m:oMath>
      <w:r>
        <w:rPr>
          <w:rFonts w:hint="eastAsia"/>
        </w:rPr>
        <w:t xml:space="preserve">时记忆容量随温度漂移；(c)</w:t>
      </w:r>
      <w:r>
        <w:t xml:space="preserve"> </w:t>
      </w:r>
      <w:r>
        <w:rPr>
          <w:rFonts w:hint="eastAsia"/>
        </w:rPr>
        <w:t xml:space="preserve">由匹配关系给出的热时钟配方</w:t>
      </w:r>
      <m:oMath>
        <m:r>
          <m:rPr>
            <m:sty m:val="p"/>
          </m:rPr>
          <m:t>d</m:t>
        </m:r>
        <m:r>
          <m:t>t</m:t>
        </m:r>
        <m:r>
          <m:rPr>
            <m:sty m:val="p"/>
          </m:rPr>
          <m:t>(</m:t>
        </m:r>
        <m:r>
          <m:t>T</m:t>
        </m:r>
        <m:r>
          <m:rPr>
            <m:sty m:val="p"/>
          </m:rPr>
          <m:t>)</m:t>
        </m:r>
        <m:r>
          <m:rPr>
            <m:sty m:val="p"/>
          </m:rPr>
          <m:t>=</m:t>
        </m:r>
        <m:r>
          <m:t>τ</m:t>
        </m:r>
        <m:r>
          <m:rPr>
            <m:sty m:val="p"/>
          </m:rPr>
          <m:t>(</m:t>
        </m:r>
        <m:r>
          <m:t>T</m:t>
        </m:r>
        <m:r>
          <m:rPr>
            <m:sty m:val="p"/>
          </m:rPr>
          <m:t>)</m:t>
        </m:r>
        <m:r>
          <m:rPr>
            <m:sty m:val="p"/>
          </m:rPr>
          <m:t>/</m:t>
        </m:r>
        <m:r>
          <m:t>2.31</m:t>
        </m:r>
      </m:oMath>
      <w:r>
        <w:rPr>
          <w:rFonts w:hint="eastAsia"/>
        </w:rPr>
        <w:t xml:space="preserve">；(d)</w:t>
      </w:r>
      <w:r>
        <w:t xml:space="preserve"> </w:t>
      </w:r>
      <w:r>
        <w:rPr>
          <w:rFonts w:hint="eastAsia"/>
        </w:rPr>
        <w:t xml:space="preserve">按该配方随温度调整储备池时钟后，记忆容量在全温区基本恒定。</w:t>
      </w:r>
    </w:p>
    <w:p>
      <w:pPr>
        <w:pStyle w:val="BodyText"/>
      </w:pPr>
      <w:r>
        <w:rPr>
          <w:rFonts w:hint="eastAsia"/>
        </w:rPr>
        <w:t xml:space="preserve">固定时钟下记忆容量在250至410</w:t>
      </w:r>
      <w:r>
        <w:t xml:space="preserve"> </w:t>
      </w:r>
      <w:r>
        <w:rPr>
          <w:rFonts w:hint="eastAsia"/>
        </w:rPr>
        <w:t xml:space="preserve">K间漂移达2.33，而当储备池更新步长随温度按匹配关系调整后，漂移压缩至0.17。这给出一个简单的器件操作配方：无需改变器件，只需令系统时钟跟随</w:t>
      </w:r>
      <m:oMath>
        <m:r>
          <m:t>τ</m:t>
        </m:r>
        <m:r>
          <m:rPr>
            <m:sty m:val="p"/>
          </m:rPr>
          <m:t>(</m:t>
        </m:r>
        <m:r>
          <m:t>T</m:t>
        </m:r>
        <m:r>
          <m:rPr>
            <m:sty m:val="p"/>
          </m:rPr>
          <m:t>)</m:t>
        </m:r>
      </m:oMath>
      <w:r>
        <w:rPr>
          <w:rFonts w:hint="eastAsia"/>
        </w:rPr>
        <w:t xml:space="preserve">，即可在宽温区保持接近最优的性能。该结论也呼应第二章的器件设计，若目标工作温区已知，可据匹配关系反推应制造的势垒高度。</w:t>
      </w:r>
    </w:p>
    <w:p>
      <w:pPr>
        <w:pStyle w:val="BodyText"/>
      </w:pPr>
      <w:r>
        <w:rPr>
          <w:rFonts w:hint="eastAsia"/>
        </w:rPr>
        <w:t xml:space="preserve">第四章的非理想性消融表明，器件间</w:t>
      </w:r>
      <w:r>
        <w:t xml:space="preserve"> (D2D) </w:t>
      </w:r>
      <w:r>
        <w:rPr>
          <w:rFonts w:hint="eastAsia"/>
        </w:rPr>
        <w:t xml:space="preserve">变异对PBNN是精度负担，</w:t>
      </w:r>
      <m:oMath>
        <m:sSub>
          <m:e>
            <m:r>
              <m:t>V</m:t>
            </m:r>
          </m:e>
          <m:sub>
            <m:r>
              <m:rPr>
                <m:sty m:val="p"/>
              </m:rPr>
              <m:t>t</m:t>
            </m:r>
            <m:r>
              <m:rPr>
                <m:sty m:val="p"/>
              </m:rPr>
              <m:t>h</m:t>
            </m:r>
          </m:sub>
        </m:sSub>
      </m:oMath>
      <w:r>
        <w:rPr>
          <w:rFonts w:hint="eastAsia"/>
        </w:rPr>
        <w:t xml:space="preserve">的绝对位置稳定性是主要瓶颈。RC对同一变异的响应却相反。图5.5给出变异与噪声扫描，均在均值场模式下隔离各通道。</w:t>
      </w:r>
    </w:p>
    <w:p>
      <w:pPr>
        <w:pStyle w:val="BodyText"/>
      </w:pPr>
      <w:r>
        <w:drawing>
          <wp:inline>
            <wp:extent cx="5334000" cy="3561970"/>
            <wp:effectExtent b="0" l="0" r="0" t="0"/>
            <wp:docPr descr="" title="" id="44" name="Picture"/>
            <a:graphic>
              <a:graphicData uri="http://schemas.openxmlformats.org/drawingml/2006/picture">
                <pic:pic>
                  <pic:nvPicPr>
                    <pic:cNvPr descr="figs/Chapter05_local_05.png" id="45" name="Picture"/>
                    <pic:cNvPicPr>
                      <a:picLocks noChangeArrowheads="1" noChangeAspect="1"/>
                    </pic:cNvPicPr>
                  </pic:nvPicPr>
                  <pic:blipFill>
                    <a:blip r:embed="rId43"/>
                    <a:stretch>
                      <a:fillRect/>
                    </a:stretch>
                  </pic:blipFill>
                  <pic:spPr bwMode="auto">
                    <a:xfrm>
                      <a:off x="0" y="0"/>
                      <a:ext cx="5334000" cy="3561970"/>
                    </a:xfrm>
                    <a:prstGeom prst="rect">
                      <a:avLst/>
                    </a:prstGeom>
                    <a:noFill/>
                    <a:ln w="9525">
                      <a:noFill/>
                      <a:headEnd/>
                      <a:tailEnd/>
                    </a:ln>
                  </pic:spPr>
                </pic:pic>
              </a:graphicData>
            </a:graphic>
          </wp:inline>
        </w:drawing>
      </w:r>
    </w:p>
    <w:p>
      <w:pPr>
        <w:pStyle w:val="BodyText"/>
      </w:pPr>
      <w:r>
        <w:rPr>
          <w:rFonts w:hint="eastAsia"/>
          <w:b/>
          <w:bCs/>
        </w:rPr>
        <w:t xml:space="preserve">图5.5</w:t>
      </w:r>
      <w:r>
        <w:t xml:space="preserve"> </w:t>
      </w:r>
      <w:r>
        <w:rPr>
          <w:rFonts w:hint="eastAsia"/>
        </w:rPr>
        <w:t xml:space="preserve">变异容忍。(a)</w:t>
      </w:r>
      <w:r>
        <w:t xml:space="preserve"> </w:t>
      </w:r>
      <w:r>
        <w:rPr>
          <w:rFonts w:hint="eastAsia"/>
        </w:rPr>
        <w:t xml:space="preserve">记忆容量随</w:t>
      </w:r>
      <m:oMath>
        <m:r>
          <m:rPr>
            <m:sty m:val="p"/>
          </m:rPr>
          <m:t>C</m:t>
        </m:r>
        <m:r>
          <m:rPr>
            <m:sty m:val="p"/>
          </m:rPr>
          <m:t>V</m:t>
        </m:r>
        <m:r>
          <m:rPr>
            <m:sty m:val="p"/>
          </m:rPr>
          <m:t>(</m:t>
        </m:r>
        <m:r>
          <m:rPr>
            <m:sty m:val="p"/>
          </m:rPr>
          <m:t>Δ</m:t>
        </m:r>
        <m:r>
          <m:rPr>
            <m:sty m:val="p"/>
          </m:rPr>
          <m:t>)</m:t>
        </m:r>
      </m:oMath>
      <w:r>
        <w:rPr>
          <w:rFonts w:hint="eastAsia"/>
        </w:rPr>
        <w:t xml:space="preserve">上升，从无变异时的3.34升至30%变异下的6.23，异质性带来不同的</w:t>
      </w:r>
      <m:oMath>
        <m:r>
          <m:t>τ</m:t>
        </m:r>
      </m:oMath>
      <w:r>
        <w:rPr>
          <w:rFonts w:hint="eastAsia"/>
        </w:rPr>
        <w:t xml:space="preserve">，丰富了节点池的有效维度；(b)</w:t>
      </w:r>
      <w:r>
        <w:t xml:space="preserve"> </w:t>
      </w:r>
      <w:r>
        <w:rPr>
          <w:rFonts w:hint="eastAsia"/>
        </w:rPr>
        <w:t xml:space="preserve">在较大范围内对</w:t>
      </w:r>
      <m:oMath>
        <m:sSub>
          <m:e>
            <m:r>
              <m:t>V</m:t>
            </m:r>
          </m:e>
          <m:sub>
            <m:r>
              <m:t>c</m:t>
            </m:r>
            <m:r>
              <m:t>0</m:t>
            </m:r>
          </m:sub>
        </m:sSub>
      </m:oMath>
      <w:r>
        <w:rPr>
          <w:rFonts w:hint="eastAsia"/>
        </w:rPr>
        <w:t xml:space="preserve">变异不敏感，直至器件失稳；(c)</w:t>
      </w:r>
      <w:r>
        <w:t xml:space="preserve"> </w:t>
      </w:r>
      <w:r>
        <w:rPr>
          <w:rFonts w:hint="eastAsia"/>
        </w:rPr>
        <w:t xml:space="preserve">加性读出噪声是真正的限制，其影响随信号摆幅</w:t>
      </w:r>
      <w:r>
        <w:t xml:space="preserve"> </w:t>
      </w:r>
      <w:r>
        <w:rPr>
          <w:rFonts w:hint="eastAsia"/>
        </w:rPr>
        <w:t xml:space="preserve">(输入驱动)</w:t>
      </w:r>
      <w:r>
        <w:t xml:space="preserve"> </w:t>
      </w:r>
      <w:r>
        <w:rPr>
          <w:rFonts w:hint="eastAsia"/>
        </w:rPr>
        <w:t xml:space="preserve">而定，受信噪比约束；(d)</w:t>
      </w:r>
      <w:r>
        <w:t xml:space="preserve"> </w:t>
      </w:r>
      <w:r>
        <w:rPr>
          <w:rFonts w:hint="eastAsia"/>
        </w:rPr>
        <w:t xml:space="preserve">该收益在NARMA-10非线性任务上同样成立。竖线为第二章晶圆工艺</w:t>
      </w:r>
      <m:oMath>
        <m:r>
          <m:rPr>
            <m:sty m:val="p"/>
          </m:rPr>
          <m:t>C</m:t>
        </m:r>
        <m:r>
          <m:rPr>
            <m:sty m:val="p"/>
          </m:rPr>
          <m:t>V</m:t>
        </m:r>
        <m:r>
          <m:rPr>
            <m:sty m:val="p"/>
          </m:rPr>
          <m:t>(</m:t>
        </m:r>
        <m:r>
          <m:rPr>
            <m:sty m:val="p"/>
          </m:rPr>
          <m:t>Δ</m:t>
        </m:r>
        <m:r>
          <m:rPr>
            <m:sty m:val="p"/>
          </m:rPr>
          <m:t>)</m:t>
        </m:r>
        <m:r>
          <m:rPr>
            <m:sty m:val="p"/>
          </m:rPr>
          <m:t>=</m:t>
        </m:r>
        <m:r>
          <m:t>7.7</m:t>
        </m:r>
        <m:r>
          <m:rPr>
            <m:sty m:val="p"/>
          </m:rPr>
          <m:t>%</m:t>
        </m:r>
      </m:oMath>
      <w:r>
        <w:t xml:space="preserve">。</w:t>
      </w:r>
    </w:p>
    <w:p>
      <w:pPr>
        <w:pStyle w:val="BodyText"/>
      </w:pPr>
      <w:r>
        <w:rPr>
          <w:rFonts w:hint="eastAsia"/>
        </w:rPr>
        <w:t xml:space="preserve">这一结果具有明确的硬件意义：对PBNN有害的制造变异，对RC从无害转为有益。在第二章实测的晶圆变异</w:t>
      </w:r>
      <m:oMath>
        <m:r>
          <m:rPr>
            <m:sty m:val="p"/>
          </m:rPr>
          <m:t>C</m:t>
        </m:r>
        <m:r>
          <m:rPr>
            <m:sty m:val="p"/>
          </m:rPr>
          <m:t>V</m:t>
        </m:r>
        <m:r>
          <m:rPr>
            <m:sty m:val="p"/>
          </m:rPr>
          <m:t>(</m:t>
        </m:r>
        <m:r>
          <m:rPr>
            <m:sty m:val="p"/>
          </m:rPr>
          <m:t>Δ</m:t>
        </m:r>
        <m:r>
          <m:rPr>
            <m:sty m:val="p"/>
          </m:rPr>
          <m:t>)</m:t>
        </m:r>
        <m:r>
          <m:rPr>
            <m:sty m:val="p"/>
          </m:rPr>
          <m:t>=</m:t>
        </m:r>
        <m:r>
          <m:t>7.7</m:t>
        </m:r>
        <m:r>
          <m:rPr>
            <m:sty m:val="p"/>
          </m:rPr>
          <m:t>%</m:t>
        </m:r>
      </m:oMath>
      <w:r>
        <w:rPr>
          <w:rFonts w:hint="eastAsia"/>
        </w:rPr>
        <w:t xml:space="preserve">处，记忆容量不降反略升至3.64，器件正处于良性乃至有益的区间。其机理在于，</w:t>
      </w:r>
      <m:oMath>
        <m:r>
          <m:rPr>
            <m:sty m:val="p"/>
          </m:rPr>
          <m:t>Δ</m:t>
        </m:r>
      </m:oMath>
      <w:r>
        <w:rPr>
          <w:rFonts w:hint="eastAsia"/>
        </w:rPr>
        <w:t xml:space="preserve">的离散导致</w:t>
      </w:r>
      <m:oMath>
        <m:r>
          <m:t>τ</m:t>
        </m:r>
      </m:oMath>
      <w:r>
        <w:rPr>
          <w:rFonts w:hint="eastAsia"/>
        </w:rPr>
        <w:t xml:space="preserve">的离散，相当于在节点池中无额外代价地获得一组时间常数各异的滤波器，提升了储备池的可分性。这与第四章PBNN以编码结构换取比特翻转鲁棒性形成对照：RC把工艺失配转化为计算资源。真正的限制来自读出与感测噪声</w:t>
      </w:r>
      <w:r>
        <w:t xml:space="preserve"> </w:t>
      </w:r>
      <w:r>
        <w:rPr>
          <w:rFonts w:hint="eastAsia"/>
        </w:rPr>
        <w:t xml:space="preserve">(图5.5(c))，其严重程度取决于噪声相对节点激活摆幅的比值，因而与5.3节的散粒噪声及集成规模问题同源，共同指向提高信号摆幅或增大集成这一工程方向。</w:t>
      </w:r>
    </w:p>
    <w:bookmarkEnd w:id="46"/>
    <w:bookmarkStart w:id="64" w:name="基准广度与硬件能效"/>
    <w:p>
      <w:pPr>
        <w:pStyle w:val="Heading2"/>
      </w:pPr>
      <w:r>
        <w:t xml:space="preserve">5.5 </w:t>
      </w:r>
      <w:r>
        <w:rPr>
          <w:rFonts w:hint="eastAsia"/>
        </w:rPr>
        <w:t xml:space="preserve">基准广度与硬件能效</w:t>
      </w:r>
    </w:p>
    <w:p>
      <w:pPr>
        <w:pStyle w:val="FirstParagraph"/>
      </w:pPr>
      <w:r>
        <w:rPr>
          <w:rFonts w:hint="eastAsia"/>
        </w:rPr>
        <w:t xml:space="preserve">为说明该器件是通用时序处理器而非单任务构造，沿用第四章跨任务验证的思路，以同一固定储备池配方运行多个标准基准。图5.6给出结果。</w:t>
      </w:r>
    </w:p>
    <w:p>
      <w:pPr>
        <w:pStyle w:val="BodyText"/>
      </w:pPr>
      <w:r>
        <w:drawing>
          <wp:inline>
            <wp:extent cx="5334000" cy="3825031"/>
            <wp:effectExtent b="0" l="0" r="0" t="0"/>
            <wp:docPr descr="" title="" id="48" name="Picture"/>
            <a:graphic>
              <a:graphicData uri="http://schemas.openxmlformats.org/drawingml/2006/picture">
                <pic:pic>
                  <pic:nvPicPr>
                    <pic:cNvPr descr="figs/Chapter05_local_06.png" id="49" name="Picture"/>
                    <pic:cNvPicPr>
                      <a:picLocks noChangeArrowheads="1" noChangeAspect="1"/>
                    </pic:cNvPicPr>
                  </pic:nvPicPr>
                  <pic:blipFill>
                    <a:blip r:embed="rId47"/>
                    <a:stretch>
                      <a:fillRect/>
                    </a:stretch>
                  </pic:blipFill>
                  <pic:spPr bwMode="auto">
                    <a:xfrm>
                      <a:off x="0" y="0"/>
                      <a:ext cx="5334000" cy="3825031"/>
                    </a:xfrm>
                    <a:prstGeom prst="rect">
                      <a:avLst/>
                    </a:prstGeom>
                    <a:noFill/>
                    <a:ln w="9525">
                      <a:noFill/>
                      <a:headEnd/>
                      <a:tailEnd/>
                    </a:ln>
                  </pic:spPr>
                </pic:pic>
              </a:graphicData>
            </a:graphic>
          </wp:inline>
        </w:drawing>
      </w:r>
    </w:p>
    <w:p>
      <w:pPr>
        <w:pStyle w:val="BodyText"/>
      </w:pPr>
      <w:r>
        <w:rPr>
          <w:rFonts w:hint="eastAsia"/>
          <w:b/>
          <w:bCs/>
        </w:rPr>
        <w:t xml:space="preserve">图5.6</w:t>
      </w:r>
      <w:r>
        <w:t xml:space="preserve"> </w:t>
      </w:r>
      <w:r>
        <w:rPr>
          <w:rFonts w:hint="eastAsia"/>
        </w:rPr>
        <w:t xml:space="preserve">基准广度。(a)</w:t>
      </w:r>
      <w:r>
        <w:t xml:space="preserve"> </w:t>
      </w:r>
      <w:r>
        <w:rPr>
          <w:rFonts w:hint="eastAsia"/>
        </w:rPr>
        <w:t xml:space="preserve">Mackey-Glass混沌序列单步预测，读出与目标几乎重合；(b)</w:t>
      </w:r>
      <w:r>
        <w:t xml:space="preserve"> </w:t>
      </w:r>
      <w:r>
        <w:rPr>
          <w:rFonts w:hint="eastAsia"/>
        </w:rPr>
        <w:t xml:space="preserve">预测NRMSE随预测步长上升；(c)</w:t>
      </w:r>
      <w:r>
        <w:t xml:space="preserve"> </w:t>
      </w:r>
      <w:r>
        <w:rPr>
          <w:rFonts w:hint="eastAsia"/>
        </w:rPr>
        <w:t xml:space="preserve">信息处理容量按多项式阶分解</w:t>
      </w:r>
      <w:r>
        <w:t xml:space="preserve"> </w:t>
      </w:r>
      <w:r>
        <w:rPr>
          <w:rFonts w:hint="eastAsia"/>
        </w:rPr>
        <w:t xml:space="preserve">(线性、二次、三次)，均值场与真实器件对比；(d)</w:t>
      </w:r>
      <w:r>
        <w:t xml:space="preserve"> </w:t>
      </w:r>
      <w:r>
        <w:rPr>
          <w:rFonts w:hint="eastAsia"/>
        </w:rPr>
        <w:t xml:space="preserve">各阶容量与总量随工作点偏置的变化。</w:t>
      </w:r>
    </w:p>
    <w:p>
      <w:pPr>
        <w:pStyle w:val="BodyText"/>
      </w:pPr>
      <w:r>
        <w:rPr>
          <w:rFonts w:hint="eastAsia"/>
        </w:rPr>
        <w:t xml:space="preserve">Mackey-Glass单步预测NRMSE低至0.006，随预测步长增至约0.04，表明储备池能稳定承担混沌动力学的短时预测。容量分解</w:t>
      </w:r>
      <w:r>
        <w:rPr>
          <w:rStyle w:val="FootnoteReference"/>
        </w:rPr>
        <w:footnoteReference w:id="50"/>
      </w:r>
      <w:r>
        <w:t xml:space="preserve"> </w:t>
      </w:r>
      <w:r>
        <w:rPr>
          <w:rFonts w:hint="eastAsia"/>
        </w:rPr>
        <w:t xml:space="preserve">(图5.6(c))</w:t>
      </w:r>
      <w:r>
        <w:t xml:space="preserve"> </w:t>
      </w:r>
      <w:r>
        <w:rPr>
          <w:rFonts w:hint="eastAsia"/>
        </w:rPr>
        <w:t xml:space="preserve">给出一个与5.4节自洽的结构性结论：零偏工作点下线性容量与三次容量较大，二次容量接近零，这正是</w:t>
      </w:r>
      <m:oMath>
        <m:r>
          <m:rPr>
            <m:sty m:val="p"/>
          </m:rPr>
          <m:t>tanh</m:t>
        </m:r>
      </m:oMath>
      <w:r>
        <w:rPr>
          <w:rFonts w:hint="eastAsia"/>
        </w:rPr>
        <w:t xml:space="preserve">奇非线性的反映，奇阶项可由器件直接生成，偶阶项需偏置打破对称才会出现。图5.6(d)</w:t>
      </w:r>
      <w:r>
        <w:t xml:space="preserve"> </w:t>
      </w:r>
      <w:r>
        <w:rPr>
          <w:rFonts w:hint="eastAsia"/>
        </w:rPr>
        <w:t xml:space="preserve">显示，随偏置升高，二次容量自零起单调释放，线性容量近乎不变，度不超过三的容量窗总量随之上升而始终远低于秩上界；即偏置并非在固定总量内做再分配，而是把容量从高阶与长延迟的窗口外移入低阶可用窗口。这把5.4节的记忆与非线性权衡从单一乘积任务推广到完整的多项式容量谱，工作点偏置由此成为在固定器件上调节可用容量构成的连续参数。</w:t>
      </w:r>
    </w:p>
    <w:p>
      <w:pPr>
        <w:pStyle w:val="BodyText"/>
      </w:pPr>
      <w:r>
        <w:rPr>
          <w:rFonts w:hint="eastAsia"/>
        </w:rPr>
        <w:t xml:space="preserve">最后把sMTJ-RC与数字回声状态网络置于同一能耗标尺，复用第四章的工艺参数与器件库，做端到端对比。核心差异是结构性的：数字ESN每步需要一次</w:t>
      </w:r>
      <m:oMath>
        <m:r>
          <m:t>O</m:t>
        </m:r>
        <m:r>
          <m:rPr>
            <m:sty m:val="p"/>
          </m:rPr>
          <m:t>(</m:t>
        </m:r>
        <m:sSup>
          <m:e>
            <m:r>
              <m:t>N</m:t>
            </m:r>
          </m:e>
          <m:sup>
            <m:r>
              <m:t>2</m:t>
            </m:r>
          </m:sup>
        </m:sSup>
        <m:r>
          <m:rPr>
            <m:sty m:val="p"/>
          </m:rPr>
          <m:t>)</m:t>
        </m:r>
      </m:oMath>
      <w:r>
        <w:rPr>
          <w:rFonts w:hint="eastAsia"/>
        </w:rPr>
        <w:t xml:space="preserve">的稠密递归矩阵向量乘，而sMTJ储备池把该递归以模拟器件动力学实现，代价为</w:t>
      </w:r>
      <m:oMath>
        <m:r>
          <m:t>O</m:t>
        </m:r>
        <m:r>
          <m:rPr>
            <m:sty m:val="p"/>
          </m:rPr>
          <m:t>(</m:t>
        </m:r>
        <m:r>
          <m:t>N</m:t>
        </m:r>
        <m:r>
          <m:rPr>
            <m:sty m:val="p"/>
          </m:rPr>
          <m:t>×</m:t>
        </m:r>
      </m:oMath>
      <w:r>
        <w:rPr>
          <w:rFonts w:hint="eastAsia"/>
        </w:rPr>
        <w:t xml:space="preserve">集成</w:t>
      </w:r>
      <m:oMath>
        <m:r>
          <m:rPr>
            <m:sty m:val="p"/>
          </m:rPr>
          <m:t>)</m:t>
        </m:r>
      </m:oMath>
      <w:r>
        <w:rPr>
          <w:rFonts w:hint="eastAsia"/>
        </w:rPr>
        <w:t xml:space="preserve">。图5.7给出评估。</w:t>
      </w:r>
    </w:p>
    <w:p>
      <w:pPr>
        <w:pStyle w:val="BodyText"/>
      </w:pPr>
      <w:r>
        <w:drawing>
          <wp:inline>
            <wp:extent cx="5334000" cy="3558141"/>
            <wp:effectExtent b="0" l="0" r="0" t="0"/>
            <wp:docPr descr="" title="" id="52" name="Picture"/>
            <a:graphic>
              <a:graphicData uri="http://schemas.openxmlformats.org/drawingml/2006/picture">
                <pic:pic>
                  <pic:nvPicPr>
                    <pic:cNvPr descr="figs/Chapter05_local_07.png" id="53" name="Picture"/>
                    <pic:cNvPicPr>
                      <a:picLocks noChangeArrowheads="1" noChangeAspect="1"/>
                    </pic:cNvPicPr>
                  </pic:nvPicPr>
                  <pic:blipFill>
                    <a:blip r:embed="rId51"/>
                    <a:stretch>
                      <a:fillRect/>
                    </a:stretch>
                  </pic:blipFill>
                  <pic:spPr bwMode="auto">
                    <a:xfrm>
                      <a:off x="0" y="0"/>
                      <a:ext cx="5334000" cy="3558141"/>
                    </a:xfrm>
                    <a:prstGeom prst="rect">
                      <a:avLst/>
                    </a:prstGeom>
                    <a:noFill/>
                    <a:ln w="9525">
                      <a:noFill/>
                      <a:headEnd/>
                      <a:tailEnd/>
                    </a:ln>
                  </pic:spPr>
                </pic:pic>
              </a:graphicData>
            </a:graphic>
          </wp:inline>
        </w:drawing>
      </w:r>
    </w:p>
    <w:p>
      <w:pPr>
        <w:pStyle w:val="BodyText"/>
      </w:pPr>
      <w:r>
        <w:rPr>
          <w:rFonts w:hint="eastAsia"/>
          <w:b/>
          <w:bCs/>
        </w:rPr>
        <w:t xml:space="preserve">图5.7</w:t>
      </w:r>
      <w:r>
        <w:t xml:space="preserve"> </w:t>
      </w:r>
      <w:r>
        <w:rPr>
          <w:rFonts w:hint="eastAsia"/>
        </w:rPr>
        <w:t xml:space="preserve">硬件评估。(a)</w:t>
      </w:r>
      <w:r>
        <w:t xml:space="preserve"> </w:t>
      </w:r>
      <w:r>
        <w:rPr>
          <w:rFonts w:hint="eastAsia"/>
        </w:rPr>
        <w:t xml:space="preserve">sMTJ-RC单步能量分解，器件偏置耗散与数字读出为主；(b)</w:t>
      </w:r>
      <w:r>
        <w:t xml:space="preserve"> </w:t>
      </w:r>
      <w:r>
        <w:rPr>
          <w:rFonts w:hint="eastAsia"/>
        </w:rPr>
        <w:t xml:space="preserve">单次推理</w:t>
      </w:r>
      <w:r>
        <w:t xml:space="preserve"> (</w:t>
      </w:r>
      <m:oMath>
        <m:r>
          <m:t>N</m:t>
        </m:r>
        <m:r>
          <m:rPr>
            <m:sty m:val="p"/>
          </m:rPr>
          <m:t>=</m:t>
        </m:r>
        <m:r>
          <m:t>100</m:t>
        </m:r>
      </m:oMath>
      <w:r>
        <w:rPr>
          <w:rFonts w:hint="eastAsia"/>
        </w:rPr>
        <w:t xml:space="preserve">，1000步)</w:t>
      </w:r>
      <w:r>
        <w:t xml:space="preserve"> </w:t>
      </w:r>
      <w:r>
        <w:rPr>
          <w:rFonts w:hint="eastAsia"/>
        </w:rPr>
        <w:t xml:space="preserve">能量，sMTJ-RC与常规数字ESN及STT-MRAM</w:t>
      </w:r>
      <w:r>
        <w:t xml:space="preserve"> </w:t>
      </w:r>
      <w:r>
        <w:rPr>
          <w:rFonts w:hint="eastAsia"/>
        </w:rPr>
        <w:t xml:space="preserve">ESN的对比，并给出乐观的存内计算下界；(c)</w:t>
      </w:r>
      <w:r>
        <w:t xml:space="preserve"> </w:t>
      </w:r>
      <w:r>
        <w:rPr>
          <w:rFonts w:hint="eastAsia"/>
        </w:rPr>
        <w:t xml:space="preserve">能量随储备池规模</w:t>
      </w:r>
      <m:oMath>
        <m:r>
          <m:t>N</m:t>
        </m:r>
      </m:oMath>
      <w:r>
        <w:rPr>
          <w:rFonts w:hint="eastAsia"/>
        </w:rPr>
        <w:t xml:space="preserve">的标度，呈现</w:t>
      </w:r>
      <m:oMath>
        <m:r>
          <m:t>O</m:t>
        </m:r>
        <m:r>
          <m:rPr>
            <m:sty m:val="p"/>
          </m:rPr>
          <m:t>(</m:t>
        </m:r>
        <m:r>
          <m:t>N</m:t>
        </m:r>
        <m:r>
          <m:rPr>
            <m:sty m:val="p"/>
          </m:rPr>
          <m:t>)</m:t>
        </m:r>
      </m:oMath>
      <w:r>
        <w:rPr>
          <w:rFonts w:hint="eastAsia"/>
        </w:rPr>
        <w:t xml:space="preserve">与</w:t>
      </w:r>
      <m:oMath>
        <m:r>
          <m:t>O</m:t>
        </m:r>
        <m:r>
          <m:rPr>
            <m:sty m:val="p"/>
          </m:rPr>
          <m:t>(</m:t>
        </m:r>
        <m:sSup>
          <m:e>
            <m:r>
              <m:t>N</m:t>
            </m:r>
          </m:e>
          <m:sup>
            <m:r>
              <m:t>2</m:t>
            </m:r>
          </m:sup>
        </m:sSup>
        <m:r>
          <m:rPr>
            <m:sty m:val="p"/>
          </m:rPr>
          <m:t>)</m:t>
        </m:r>
      </m:oMath>
      <w:r>
        <w:rPr>
          <w:rFonts w:hint="eastAsia"/>
        </w:rPr>
        <w:t xml:space="preserve">的分野；(d)</w:t>
      </w:r>
      <w:r>
        <w:t xml:space="preserve"> </w:t>
      </w:r>
      <w:r>
        <w:rPr>
          <w:rFonts w:hint="eastAsia"/>
        </w:rPr>
        <w:t xml:space="preserve">精度</w:t>
      </w:r>
      <w:r>
        <w:t xml:space="preserve"> </w:t>
      </w:r>
      <w:r>
        <w:rPr>
          <w:rFonts w:hint="eastAsia"/>
        </w:rPr>
        <w:t xml:space="preserve">(记忆容量)</w:t>
      </w:r>
      <w:r>
        <w:t xml:space="preserve"> </w:t>
      </w:r>
      <w:r>
        <w:rPr>
          <w:rFonts w:hint="eastAsia"/>
        </w:rPr>
        <w:t xml:space="preserve">与能量的折线，随集成规模扫描。</w:t>
      </w:r>
    </w:p>
    <w:p>
      <w:pPr>
        <w:pStyle w:val="BodyText"/>
      </w:pPr>
      <w:r>
        <w:rPr>
          <w:rFonts w:hint="eastAsia"/>
        </w:rPr>
        <w:t xml:space="preserve">在</w:t>
      </w:r>
      <m:oMath>
        <m:r>
          <m:t>N</m:t>
        </m:r>
        <m:r>
          <m:rPr>
            <m:sty m:val="p"/>
          </m:rPr>
          <m:t>=</m:t>
        </m:r>
        <m:r>
          <m:t>100</m:t>
        </m:r>
      </m:oMath>
      <w:r>
        <w:rPr>
          <w:rFonts w:hint="eastAsia"/>
        </w:rPr>
        <w:t xml:space="preserve">、1000步推理下，sMTJ-RC的读出能量按提取的sky130</w:t>
      </w:r>
      <w:r>
        <w:t xml:space="preserve"> </w:t>
      </w:r>
      <w:r>
        <w:rPr>
          <w:rFonts w:hint="eastAsia"/>
        </w:rPr>
        <w:t xml:space="preserve">StrongARM比较器与电容数模阵列标定的逐次逼近转换计入</w:t>
      </w:r>
      <w:r>
        <w:rPr>
          <w:rStyle w:val="FootnoteReference"/>
        </w:rPr>
        <w:footnoteReference w:id="54"/>
      </w:r>
      <w:r>
        <w:rPr>
          <w:rFonts w:hint="eastAsia"/>
        </w:rPr>
        <w:t xml:space="preserve">，其单次推理能量较常规数字ESN低约30倍</w:t>
      </w:r>
      <w:r>
        <w:t xml:space="preserve"> </w:t>
      </w:r>
      <w:r>
        <w:rPr>
          <w:rFonts w:hint="eastAsia"/>
        </w:rPr>
        <w:t xml:space="preserve">(逐节点8位读出；改用列共享时分复用读出约35倍)，按单位记忆容量能耗计更低约一个数量级。又因</w:t>
      </w:r>
      <m:oMath>
        <m:r>
          <m:t>O</m:t>
        </m:r>
        <m:r>
          <m:rPr>
            <m:sty m:val="p"/>
          </m:rPr>
          <m:t>(</m:t>
        </m:r>
        <m:r>
          <m:t>N</m:t>
        </m:r>
        <m:r>
          <m:rPr>
            <m:sty m:val="p"/>
          </m:rPr>
          <m:t>)</m:t>
        </m:r>
      </m:oMath>
      <w:r>
        <w:rPr>
          <w:rFonts w:hint="eastAsia"/>
        </w:rPr>
        <w:t xml:space="preserve">对</w:t>
      </w:r>
      <m:oMath>
        <m:r>
          <m:t>O</m:t>
        </m:r>
        <m:r>
          <m:rPr>
            <m:sty m:val="p"/>
          </m:rPr>
          <m:t>(</m:t>
        </m:r>
        <m:sSup>
          <m:e>
            <m:r>
              <m:t>N</m:t>
            </m:r>
          </m:e>
          <m:sup>
            <m:r>
              <m:t>2</m:t>
            </m:r>
          </m:sup>
        </m:sSup>
        <m:r>
          <m:rPr>
            <m:sty m:val="p"/>
          </m:rPr>
          <m:t>)</m:t>
        </m:r>
      </m:oMath>
      <w:r>
        <w:rPr>
          <w:rFonts w:hint="eastAsia"/>
        </w:rPr>
        <w:t xml:space="preserve">的标度分野，该优势随储备池规模增大而扩大</w:t>
      </w:r>
      <w:r>
        <w:t xml:space="preserve"> </w:t>
      </w:r>
      <w:r>
        <w:rPr>
          <w:rFonts w:hint="eastAsia"/>
        </w:rPr>
        <w:t xml:space="preserve">(图5.7(c))。其边界也清楚：理想存内计算ESN</w:t>
      </w:r>
      <w:r>
        <w:t xml:space="preserve"> </w:t>
      </w:r>
      <w:r>
        <w:rPr>
          <w:rFonts w:hint="eastAsia"/>
        </w:rPr>
        <w:t xml:space="preserve">(忽略ADC开销)</w:t>
      </w:r>
      <w:r>
        <w:t xml:space="preserve"> </w:t>
      </w:r>
      <w:r>
        <w:rPr>
          <w:rFonts w:hint="eastAsia"/>
        </w:rPr>
        <w:t xml:space="preserve">的下界仍低于sMTJ-RC，故该优势成立的前提是相对冯诺依曼式数字ESN的比较，而非相对最激进的模拟存内计算。图5.7(d)</w:t>
      </w:r>
      <w:r>
        <w:t xml:space="preserve"> </w:t>
      </w:r>
      <w:r>
        <w:rPr>
          <w:rFonts w:hint="eastAsia"/>
        </w:rPr>
        <w:t xml:space="preserve">也显示sMTJ-RC以更低能耗占据较低精度区间，要达到数字ESN的记忆容量需更大集成，二者在精度与能量平面上各有占优区。综合而言，sMTJ-RC的硬件价值在于以器件物理承担最昂贵的稠密递归，在能量预算受限、精度要求中等的时序处理场景中具备明确优势。</w:t>
      </w:r>
    </w:p>
    <w:p>
      <w:pPr>
        <w:pStyle w:val="BodyText"/>
      </w:pPr>
      <w:r>
        <w:rPr>
          <w:rFonts w:hint="eastAsia"/>
        </w:rPr>
        <w:t xml:space="preserve">上述能量对比把读出连同模数转换计入，其底层是读出与阵列的协同设计</w:t>
      </w:r>
      <w:r>
        <w:rPr>
          <w:rStyle w:val="FootnoteReference"/>
        </w:rPr>
        <w:footnoteReference w:id="55"/>
      </w:r>
      <w:r>
        <w:rPr>
          <w:rFonts w:hint="eastAsia"/>
        </w:rPr>
        <w:t xml:space="preserve">。把模数转换能量以提取的sky130</w:t>
      </w:r>
      <w:r>
        <w:t xml:space="preserve"> </w:t>
      </w:r>
      <w:r>
        <w:rPr>
          <w:rFonts w:hint="eastAsia"/>
        </w:rPr>
        <w:t xml:space="preserve">StrongARM比较器作逐次逼近转换器的比较器项、电容数模阵列的开关能量以sky130单位电容标定后，读出主导储备池能量：比较器即使3位分辨也已占总能量近九成</w:t>
      </w:r>
      <w:r>
        <w:t xml:space="preserve"> </w:t>
      </w:r>
      <w:r>
        <w:rPr>
          <w:rFonts w:hint="eastAsia"/>
        </w:rPr>
        <w:t xml:space="preserve">(图5.9)；但比较器项随位数线性增长，分辨率的能量惩罚温和。对集成式储备池而言低至中等分辨读出即足这一结论本身在近期工作中已有报道</w:t>
      </w:r>
      <w:r>
        <w:rPr>
          <w:rStyle w:val="FootnoteReference"/>
        </w:rPr>
        <w:footnoteReference w:id="56"/>
      </w:r>
      <w:r>
        <w:rPr>
          <w:rFonts w:hint="eastAsia"/>
        </w:rPr>
        <w:t xml:space="preserve">，本章区别于该工作之处在于以记忆容量每焦耳为目标、把节点数纳入联合权衡，并采用列共享、时分复用的逐次逼近转换器，把一套比较器与电容阵列摊销到超顺磁电报噪声节点之上</w:t>
      </w:r>
      <w:r>
        <w:t xml:space="preserve"> </w:t>
      </w:r>
      <w:r>
        <w:rPr>
          <w:rFonts w:hint="eastAsia"/>
        </w:rPr>
        <w:t xml:space="preserve">(图5.8)。正是这一摊销使前述能量优势在含提取读出时仍达约30倍</w:t>
      </w:r>
      <w:r>
        <w:t xml:space="preserve"> </w:t>
      </w:r>
      <w:r>
        <w:rPr>
          <w:rFonts w:hint="eastAsia"/>
        </w:rPr>
        <w:t xml:space="preserve">(逐节点8位)</w:t>
      </w:r>
      <w:r>
        <w:t xml:space="preserve"> </w:t>
      </w:r>
      <w:r>
        <w:rPr>
          <w:rFonts w:hint="eastAsia"/>
        </w:rPr>
        <w:t xml:space="preserve">至约35倍</w:t>
      </w:r>
      <w:r>
        <w:t xml:space="preserve"> </w:t>
      </w:r>
      <w:r>
        <w:rPr>
          <w:rFonts w:hint="eastAsia"/>
        </w:rPr>
        <w:t xml:space="preserve">(列共享)，而非以降低分辨率换取。</w:t>
      </w:r>
    </w:p>
    <w:p>
      <w:pPr>
        <w:pStyle w:val="BodyText"/>
      </w:pPr>
      <w:r>
        <w:drawing>
          <wp:inline>
            <wp:extent cx="5334000" cy="2788227"/>
            <wp:effectExtent b="0" l="0" r="0" t="0"/>
            <wp:docPr descr="" title="" id="59" name="Picture"/>
            <a:graphic>
              <a:graphicData uri="http://schemas.openxmlformats.org/drawingml/2006/picture">
                <pic:pic>
                  <pic:nvPicPr>
                    <pic:cNvPr descr="figs/Chapter05_local_08.png" id="60" name="Picture"/>
                    <pic:cNvPicPr>
                      <a:picLocks noChangeArrowheads="1" noChangeAspect="1"/>
                    </pic:cNvPicPr>
                  </pic:nvPicPr>
                  <pic:blipFill>
                    <a:blip r:embed="rId58"/>
                    <a:stretch>
                      <a:fillRect/>
                    </a:stretch>
                  </pic:blipFill>
                  <pic:spPr bwMode="auto">
                    <a:xfrm>
                      <a:off x="0" y="0"/>
                      <a:ext cx="5334000" cy="2788227"/>
                    </a:xfrm>
                    <a:prstGeom prst="rect">
                      <a:avLst/>
                    </a:prstGeom>
                    <a:noFill/>
                    <a:ln w="9525">
                      <a:noFill/>
                      <a:headEnd/>
                      <a:tailEnd/>
                    </a:ln>
                  </pic:spPr>
                </pic:pic>
              </a:graphicData>
            </a:graphic>
          </wp:inline>
        </w:drawing>
      </w:r>
    </w:p>
    <w:p>
      <w:pPr>
        <w:pStyle w:val="BodyText"/>
      </w:pPr>
      <w:r>
        <w:rPr>
          <w:rFonts w:hint="eastAsia"/>
          <w:b/>
          <w:bCs/>
        </w:rPr>
        <w:t xml:space="preserve">图5.8</w:t>
      </w:r>
      <w:r>
        <w:t xml:space="preserve"> </w:t>
      </w:r>
      <w:r>
        <w:rPr>
          <w:rFonts w:hint="eastAsia"/>
        </w:rPr>
        <w:t xml:space="preserve">列共享、时分复用的逐次逼近读出电路。多列抽头经采样开关时分复用到单一电荷再分配电容数模阵列的共享顶板节点，二进制加权电容底板由各位开关在参考电压与地之间切换，StrongARM比较器</w:t>
      </w:r>
      <w:r>
        <w:t xml:space="preserve"> </w:t>
      </w:r>
      <w:r>
        <w:rPr>
          <w:rFonts w:hint="eastAsia"/>
        </w:rPr>
        <w:t xml:space="preserve">(其晶体管级网表与第四章读出共用)</w:t>
      </w:r>
      <w:r>
        <w:t xml:space="preserve"> </w:t>
      </w:r>
      <w:r>
        <w:rPr>
          <w:rFonts w:hint="eastAsia"/>
        </w:rPr>
        <w:t xml:space="preserve">逐位逼近，逐次逼近寄存器输出数字码。一套比较器与电容阵列在各列间摊销，是上述读出能量得以受控的电路根据。</w:t>
      </w:r>
    </w:p>
    <w:p>
      <w:pPr>
        <w:pStyle w:val="BodyText"/>
      </w:pPr>
      <w:r>
        <w:drawing>
          <wp:inline>
            <wp:extent cx="5334000" cy="1694472"/>
            <wp:effectExtent b="0" l="0" r="0" t="0"/>
            <wp:docPr descr="" title="" id="62" name="Picture"/>
            <a:graphic>
              <a:graphicData uri="http://schemas.openxmlformats.org/drawingml/2006/picture">
                <pic:pic>
                  <pic:nvPicPr>
                    <pic:cNvPr descr="figs/Chapter05_local_09.png" id="63" name="Picture"/>
                    <pic:cNvPicPr>
                      <a:picLocks noChangeArrowheads="1" noChangeAspect="1"/>
                    </pic:cNvPicPr>
                  </pic:nvPicPr>
                  <pic:blipFill>
                    <a:blip r:embed="rId61"/>
                    <a:stretch>
                      <a:fillRect/>
                    </a:stretch>
                  </pic:blipFill>
                  <pic:spPr bwMode="auto">
                    <a:xfrm>
                      <a:off x="0" y="0"/>
                      <a:ext cx="5334000" cy="1694472"/>
                    </a:xfrm>
                    <a:prstGeom prst="rect">
                      <a:avLst/>
                    </a:prstGeom>
                    <a:noFill/>
                    <a:ln w="9525">
                      <a:noFill/>
                      <a:headEnd/>
                      <a:tailEnd/>
                    </a:ln>
                  </pic:spPr>
                </pic:pic>
              </a:graphicData>
            </a:graphic>
          </wp:inline>
        </w:drawing>
      </w:r>
    </w:p>
    <w:p>
      <w:pPr>
        <w:pStyle w:val="BodyText"/>
      </w:pPr>
      <w:r>
        <w:rPr>
          <w:rFonts w:hint="eastAsia"/>
          <w:b/>
          <w:bCs/>
        </w:rPr>
        <w:t xml:space="preserve">图5.9</w:t>
      </w:r>
      <w:r>
        <w:t xml:space="preserve"> </w:t>
      </w:r>
      <w:r>
        <w:rPr>
          <w:rFonts w:hint="eastAsia"/>
        </w:rPr>
        <w:t xml:space="preserve">储备池读出的能量协同与外围方案的同流程对比。(a)</w:t>
      </w:r>
      <w:r>
        <w:t xml:space="preserve"> </w:t>
      </w:r>
      <w:r>
        <w:rPr>
          <w:rFonts w:hint="eastAsia"/>
        </w:rPr>
        <w:t xml:space="preserve">等能量前沿：记忆容量对每步能量、颜色为模数转换位数；读出主导能量</w:t>
      </w:r>
      <w:r>
        <w:t xml:space="preserve"> </w:t>
      </w:r>
      <w:r>
        <w:rPr>
          <w:rFonts w:hint="eastAsia"/>
        </w:rPr>
        <w:t xml:space="preserve">(比较器即使低分辨也占近九成)，但比较器项随位数线性增长，故分辨率的能量惩罚温和——支撑以列共享摊销比较器、而非降低分辨率作为读出节能的着力点。(b)</w:t>
      </w:r>
      <w:r>
        <w:t xml:space="preserve"> </w:t>
      </w:r>
      <w:r>
        <w:rPr>
          <w:rFonts w:hint="eastAsia"/>
        </w:rPr>
        <w:t xml:space="preserve">计入物理模数转换读出后，sMTJ-RC相对数字ESN的能量优势</w:t>
      </w:r>
      <w:r>
        <w:t xml:space="preserve"> </w:t>
      </w:r>
      <w:r>
        <w:rPr>
          <w:rFonts w:hint="eastAsia"/>
        </w:rPr>
        <w:t xml:space="preserve">(逐节点／列共享、不同位数)，落在约30–35×。(c)</w:t>
      </w:r>
      <w:r>
        <w:t xml:space="preserve"> </w:t>
      </w:r>
      <w:r>
        <w:rPr>
          <w:rFonts w:hint="eastAsia"/>
        </w:rPr>
        <w:t xml:space="preserve">两种SAR电容数模阵列开关方案</w:t>
      </w:r>
      <w:r>
        <w:t xml:space="preserve"> </w:t>
      </w:r>
      <w:r>
        <w:rPr>
          <w:rFonts w:hint="eastAsia"/>
        </w:rPr>
        <w:t xml:space="preserve">(本文monotonic与conventional)</w:t>
      </w:r>
      <w:r>
        <w:t xml:space="preserve"> </w:t>
      </w:r>
      <w:r>
        <w:rPr>
          <w:rFonts w:hint="eastAsia"/>
        </w:rPr>
        <w:t xml:space="preserve">在同一sky130暂态电荷积分下的单次转换能量</w:t>
      </w:r>
      <w:r>
        <w:t xml:space="preserve"> (</w:t>
      </w:r>
      <m:oMath>
        <m:r>
          <m:t>b</m:t>
        </m:r>
        <m:r>
          <m:rPr>
            <m:sty m:val="p"/>
          </m:rPr>
          <m:t>=</m:t>
        </m:r>
        <m:r>
          <m:t>8</m:t>
        </m:r>
      </m:oMath>
      <w:r>
        <w:rPr>
          <w:rFonts w:hint="eastAsia"/>
        </w:rPr>
        <w:t xml:space="preserve">，电容DAC开关能与已提取比较器能分项堆叠)，由细到粗的箭头由较差方案指向更优方案</w:t>
      </w:r>
      <w:r>
        <w:t xml:space="preserve"> </w:t>
      </w:r>
      <w:r>
        <w:rPr>
          <w:rFonts w:hint="eastAsia"/>
        </w:rPr>
        <w:t xml:space="preserve">(总能量低39%)：monotonic把电容DAC开关能压低约4.3倍</w:t>
      </w:r>
      <w:r>
        <w:t xml:space="preserve"> </w:t>
      </w:r>
      <w:r>
        <w:rPr>
          <w:rFonts w:hint="eastAsia"/>
        </w:rPr>
        <w:t xml:space="preserve">(92.3对394.7</w:t>
      </w:r>
      <w:r>
        <w:t xml:space="preserve"> </w:t>
      </w:r>
      <w:r>
        <w:rPr>
          <w:rFonts w:hint="eastAsia"/>
        </w:rPr>
        <w:t xml:space="preserve">fJ)，而按位线性的比较器项主导总能量，印证读出节能的着力点在于跨列摊销比较器而非削减位数。各备选方案与同流程分析见附录D。</w:t>
      </w:r>
    </w:p>
    <w:bookmarkEnd w:id="64"/>
    <w:bookmarkStart w:id="69" w:name="本章小结"/>
    <w:p>
      <w:pPr>
        <w:pStyle w:val="Heading2"/>
      </w:pPr>
      <w:r>
        <w:t xml:space="preserve">5.6 </w:t>
      </w:r>
      <w:r>
        <w:rPr>
          <w:rFonts w:hint="eastAsia"/>
        </w:rPr>
        <w:t xml:space="preserve">本章小结</w:t>
      </w:r>
    </w:p>
    <w:p>
      <w:pPr>
        <w:pStyle w:val="FirstParagraph"/>
      </w:pPr>
      <w:r>
        <w:rPr>
          <w:rFonts w:hint="eastAsia"/>
        </w:rPr>
        <w:t xml:space="preserve">本章把全文主线下同一硬件单元在时序处理任务上的可达性这一问题，落到第四章仿真器之上的两个新增层，即有状态电报模型层与储备池读出层，并以噪声无关的均值场模式作为理想参照贯穿评估。主要结论有四点。第一，可计算性方面，sMTJ以随机电报动力学运行时，在记忆容量与混沌预测等标准基准上具备实在的计算能力，记忆来源于磁矩弛豫时间这一可由电压指数调控的物理量。第二，器件优化方面，面向RC的sMTJ应比PBNN写器件势垒更低</w:t>
      </w:r>
      <w:r>
        <w:rPr>
          <w:rStyle w:val="FootnoteReference"/>
        </w:rPr>
        <w:footnoteReference w:id="65"/>
      </w:r>
      <w:r>
        <w:rPr>
          <w:rFonts w:hint="eastAsia"/>
        </w:rPr>
        <w:t xml:space="preserve">，并按弛豫时间约为采样周期二至三倍的关系选择势垒，温度对</w:t>
      </w:r>
      <m:oMath>
        <m:r>
          <m:t>τ</m:t>
        </m:r>
      </m:oMath>
      <w:r>
        <w:rPr>
          <w:rFonts w:hint="eastAsia"/>
        </w:rPr>
        <w:t xml:space="preserve">的强敏感性可由跟随</w:t>
      </w:r>
      <m:oMath>
        <m:r>
          <m:t>τ</m:t>
        </m:r>
        <m:r>
          <m:rPr>
            <m:sty m:val="p"/>
          </m:rPr>
          <m:t>(</m:t>
        </m:r>
        <m:r>
          <m:t>T</m:t>
        </m:r>
        <m:r>
          <m:rPr>
            <m:sty m:val="p"/>
          </m:rPr>
          <m:t>)</m:t>
        </m:r>
      </m:oMath>
      <w:r>
        <w:rPr>
          <w:rFonts w:hint="eastAsia"/>
        </w:rPr>
        <w:t xml:space="preserve">的系统时钟予以补偿。第三，鲁棒性方面，对PBNN有害的D2D变异对RC从无害转为有益，器件失配被转化为节点多样性，真正的限制是读出信噪比。第四，硬件能效方面，sMTJ储备池以器件物理替代数字ESN的</w:t>
      </w:r>
      <m:oMath>
        <m:r>
          <m:t>O</m:t>
        </m:r>
        <m:r>
          <m:rPr>
            <m:sty m:val="p"/>
          </m:rPr>
          <m:t>(</m:t>
        </m:r>
        <m:sSup>
          <m:e>
            <m:r>
              <m:t>N</m:t>
            </m:r>
          </m:e>
          <m:sup>
            <m:r>
              <m:t>2</m:t>
            </m:r>
          </m:sup>
        </m:sSup>
        <m:r>
          <m:rPr>
            <m:sty m:val="p"/>
          </m:rPr>
          <m:t>)</m:t>
        </m:r>
      </m:oMath>
      <w:r>
        <w:rPr>
          <w:rFonts w:hint="eastAsia"/>
        </w:rPr>
        <w:t xml:space="preserve">稠密递归，相对常规数字ESN能效高约一个数量级，且优势随规模扩大。</w:t>
      </w:r>
    </w:p>
    <w:p>
      <w:pPr>
        <w:pStyle w:val="BodyText"/>
      </w:pPr>
      <w:r>
        <w:rPr>
          <w:rFonts w:hint="eastAsia"/>
        </w:rPr>
        <w:t xml:space="preserve">上述三类用法在同一套器件—阵列—外围硬件上的整体组织见图5.10。该图把全文主线的器件、阵列、外围与操作模式四个层次串起：右侧操作模式层并列概率位推断与储备池两种时分复用用法，正与本节所述受限统一阵列相对应。</w:t>
      </w:r>
    </w:p>
    <w:p>
      <w:pPr>
        <w:pStyle w:val="BodyText"/>
      </w:pPr>
      <w:r>
        <w:drawing>
          <wp:inline>
            <wp:extent cx="5334000" cy="2233006"/>
            <wp:effectExtent b="0" l="0" r="0" t="0"/>
            <wp:docPr descr="" title="" id="67" name="Picture"/>
            <a:graphic>
              <a:graphicData uri="http://schemas.openxmlformats.org/drawingml/2006/picture">
                <pic:pic>
                  <pic:nvPicPr>
                    <pic:cNvPr descr="figs/Chapter05_local_10.png" id="68" name="Picture"/>
                    <pic:cNvPicPr>
                      <a:picLocks noChangeArrowheads="1" noChangeAspect="1"/>
                    </pic:cNvPicPr>
                  </pic:nvPicPr>
                  <pic:blipFill>
                    <a:blip r:embed="rId66"/>
                    <a:stretch>
                      <a:fillRect/>
                    </a:stretch>
                  </pic:blipFill>
                  <pic:spPr bwMode="auto">
                    <a:xfrm>
                      <a:off x="0" y="0"/>
                      <a:ext cx="5334000" cy="2233006"/>
                    </a:xfrm>
                    <a:prstGeom prst="rect">
                      <a:avLst/>
                    </a:prstGeom>
                    <a:noFill/>
                    <a:ln w="9525">
                      <a:noFill/>
                      <a:headEnd/>
                      <a:tailEnd/>
                    </a:ln>
                  </pic:spPr>
                </pic:pic>
              </a:graphicData>
            </a:graphic>
          </wp:inline>
        </w:drawing>
      </w:r>
    </w:p>
    <w:p>
      <w:pPr>
        <w:pStyle w:val="BodyText"/>
      </w:pPr>
      <w:r>
        <w:rPr>
          <w:rFonts w:hint="eastAsia"/>
          <w:b/>
          <w:bCs/>
        </w:rPr>
        <w:t xml:space="preserve">图5.10</w:t>
      </w:r>
      <w:r>
        <w:t xml:space="preserve"> </w:t>
      </w:r>
      <w:r>
        <w:rPr>
          <w:rFonts w:hint="eastAsia"/>
        </w:rPr>
        <w:t xml:space="preserve">sMTJ概率位／储备池计算的整体系统架构</w:t>
      </w:r>
      <w:r>
        <w:t xml:space="preserve"> </w:t>
      </w:r>
      <w:r>
        <w:rPr>
          <w:rFonts w:hint="eastAsia"/>
        </w:rPr>
        <w:t xml:space="preserve">(器件</w:t>
      </w:r>
      <w:r>
        <w:t xml:space="preserve"> → </w:t>
      </w:r>
      <w:r>
        <w:rPr>
          <w:rFonts w:hint="eastAsia"/>
        </w:rPr>
        <w:t xml:space="preserve">XNOR存内计算阵列</w:t>
      </w:r>
      <w:r>
        <w:t xml:space="preserve"> → sky130 </w:t>
      </w:r>
      <w:r>
        <w:rPr>
          <w:rFonts w:hint="eastAsia"/>
        </w:rPr>
        <w:t xml:space="preserve">CMOS外围</w:t>
      </w:r>
      <w:r>
        <w:t xml:space="preserve"> → </w:t>
      </w:r>
      <w:r>
        <w:rPr>
          <w:rFonts w:hint="eastAsia"/>
        </w:rPr>
        <w:t xml:space="preserve">操作模式)。同一物理阵列经BL/SL、WWL/RWL、RBL与外围耦合，右侧操作模式层并列概率位推断与储备池两种时分复用用法，顶部虚线为闭环采样反馈，底栏标出各层的抽象级别及其sky130实现来源</w:t>
      </w:r>
      <w:r>
        <w:t xml:space="preserve"> </w:t>
      </w:r>
      <w:r>
        <w:rPr>
          <w:rFonts w:hint="eastAsia"/>
        </w:rPr>
        <w:t xml:space="preserve">(外围层为提取数)。</w:t>
      </w:r>
    </w:p>
    <w:p>
      <w:pPr>
        <w:pStyle w:val="BodyText"/>
      </w:pPr>
      <w:r>
        <w:rPr>
          <w:rFonts w:hint="eastAsia"/>
        </w:rPr>
        <w:t xml:space="preserve">从主线层面看，本章与第三、四章共同构成同一物理阵列承担三类传统分离任务的完整证据：第三章的组合优化、第四章的前馈推断、本章的时序处理，三者在器件层、阵列层与仿真后端层均无硬件分歧，差别只在外围调度。优化以全阵列同步演化进行，推断以按层有序前馈采样进行，时序处理则以保留时间相关的连续演化进行。前两类任务利用的是器件的瞬时随机性，本章进一步把可用资源延伸到器件的时域动力学，在任务覆盖之外也拓宽了概率计算所依托的物理基础。第四章结论曾指出，概率计算有望从由算法适配器件特性的阶段，推进到由器件按算法需求加以定制的阶段；本章关于RC偏好更低势垒、并按任务时标匹配弛豫时间的定量结论，正是这一设想在时序处理任务上的具体实现。下一章在此基础上对全文工作作出总结并讨论后续研究方向。</w:t>
      </w:r>
    </w:p>
    <w:bookmarkEnd w:id="69"/>
    <w:bookmarkStart w:id="70" w:name="参考文献"/>
    <w:p>
      <w:pPr>
        <w:pStyle w:val="Heading2"/>
      </w:pPr>
      <w:r>
        <w:rPr>
          <w:rFonts w:hint="eastAsia"/>
        </w:rPr>
        <w:t xml:space="preserve">参考文献</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Torrejon J, Riou M, Araujo F A, Tsunegi S, Khalsa G, Querlioz D, Bortolotti P, Cros V, Yakushiji K, Fukushima A, Kubota H, Yuasa S, Stiles M D, Grollier J. Neuromorphic computing with nanoscale spintronic oscillators.</w:t>
      </w:r>
      <w:r>
        <w:t xml:space="preserve"> </w:t>
      </w:r>
      <w:r>
        <w:rPr>
          <w:i/>
          <w:iCs/>
        </w:rPr>
        <w:t xml:space="preserve">Nature</w:t>
      </w:r>
      <w:r>
        <w:t xml:space="preserve">, 2017, 547: 428–431.</w:t>
      </w:r>
      <w:r>
        <w:t xml:space="preserve"> </w:t>
      </w:r>
      <w:hyperlink r:id="rId14">
        <w:r>
          <w:rPr>
            <w:rStyle w:val="Hyperlink"/>
          </w:rPr>
          <w:t xml:space="preserve">doi:10.1038/nature23011</w:t>
        </w:r>
      </w:hyperlink>
    </w:p>
  </w:footnote>
  <w:footnote w:id="15">
    <w:p>
      <w:pPr>
        <w:pStyle w:val="FootnoteText"/>
      </w:pPr>
      <w:r>
        <w:rPr>
          <w:rStyle w:val="FootnoteReference"/>
        </w:rPr>
        <w:footnoteRef/>
      </w:r>
      <w:r>
        <w:t xml:space="preserve"> </w:t>
      </w:r>
      <w:r>
        <w:t xml:space="preserve">Grollier J, Querlioz D, Camsari K Y, Everschor-Sitte K, Fukami S, Stiles M D. Neuromorphic spintronics.</w:t>
      </w:r>
      <w:r>
        <w:t xml:space="preserve"> </w:t>
      </w:r>
      <w:r>
        <w:rPr>
          <w:i/>
          <w:iCs/>
        </w:rPr>
        <w:t xml:space="preserve">Nature Electronics</w:t>
      </w:r>
      <w:r>
        <w:t xml:space="preserve">, 2020, 3: 360–370.</w:t>
      </w:r>
      <w:r>
        <w:t xml:space="preserve"> </w:t>
      </w:r>
      <w:hyperlink r:id="rId16">
        <w:r>
          <w:rPr>
            <w:rStyle w:val="Hyperlink"/>
          </w:rPr>
          <w:t xml:space="preserve">doi:10.1038/s41928-019-0360-9</w:t>
        </w:r>
      </w:hyperlink>
    </w:p>
  </w:footnote>
  <w:footnote w:id="17">
    <w:p>
      <w:pPr>
        <w:pStyle w:val="FootnoteText"/>
      </w:pPr>
      <w:r>
        <w:rPr>
          <w:rStyle w:val="FootnoteReference"/>
        </w:rPr>
        <w:footnoteRef/>
      </w:r>
      <w:r>
        <w:t xml:space="preserve"> </w:t>
      </w:r>
      <w:r>
        <w:t xml:space="preserve">Camsari K Y, Sutton B M, Datta S. p-bits for probabilistic spin logic.</w:t>
      </w:r>
      <w:r>
        <w:t xml:space="preserve"> </w:t>
      </w:r>
      <w:r>
        <w:rPr>
          <w:i/>
          <w:iCs/>
        </w:rPr>
        <w:t xml:space="preserve">Applied Physics Reviews</w:t>
      </w:r>
      <w:r>
        <w:t xml:space="preserve">, 2019, 6(1): 011305.</w:t>
      </w:r>
      <w:r>
        <w:t xml:space="preserve"> </w:t>
      </w:r>
      <w:hyperlink r:id="rId18">
        <w:r>
          <w:rPr>
            <w:rStyle w:val="Hyperlink"/>
          </w:rPr>
          <w:t xml:space="preserve">doi:10.1063/1.5055860</w:t>
        </w:r>
      </w:hyperlink>
    </w:p>
  </w:footnote>
  <w:footnote w:id="19">
    <w:p>
      <w:pPr>
        <w:pStyle w:val="FootnoteText"/>
      </w:pPr>
      <w:r>
        <w:rPr>
          <w:rStyle w:val="FootnoteReference"/>
        </w:rPr>
        <w:footnoteRef/>
      </w:r>
      <w:r>
        <w:t xml:space="preserve"> </w:t>
      </w:r>
      <w:r>
        <w:t xml:space="preserve">Borders W A, Pervaiz A Z, Fukami S, Camsari K Y, Ohno H, Datta S. Integer factorization using stochastic magnetic tunnel junctions.</w:t>
      </w:r>
      <w:r>
        <w:t xml:space="preserve"> </w:t>
      </w:r>
      <w:r>
        <w:rPr>
          <w:i/>
          <w:iCs/>
        </w:rPr>
        <w:t xml:space="preserve">Nature</w:t>
      </w:r>
      <w:r>
        <w:t xml:space="preserve">, 2019, 573: 390–393.</w:t>
      </w:r>
      <w:r>
        <w:t xml:space="preserve"> </w:t>
      </w:r>
      <w:hyperlink r:id="rId20">
        <w:r>
          <w:rPr>
            <w:rStyle w:val="Hyperlink"/>
          </w:rPr>
          <w:t xml:space="preserve">doi:10.1038/s41586-019-1557-9</w:t>
        </w:r>
      </w:hyperlink>
    </w:p>
  </w:footnote>
  <w:footnote w:id="21">
    <w:p>
      <w:pPr>
        <w:pStyle w:val="FootnoteText"/>
      </w:pPr>
      <w:r>
        <w:rPr>
          <w:rStyle w:val="FootnoteReference"/>
        </w:rPr>
        <w:footnoteRef/>
      </w:r>
      <w:r>
        <w:t xml:space="preserve"> </w:t>
      </w:r>
      <w:r>
        <w:t xml:space="preserve">Kaiser J, Borders W A, Camsari K Y, Fukami S, Ohno H, Datta S. Hardware-aware in situ learning based on stochastic magnetic tunnel junctions.</w:t>
      </w:r>
      <w:r>
        <w:t xml:space="preserve"> </w:t>
      </w:r>
      <w:r>
        <w:rPr>
          <w:i/>
          <w:iCs/>
        </w:rPr>
        <w:t xml:space="preserve">Physical Review Applied</w:t>
      </w:r>
      <w:r>
        <w:t xml:space="preserve">, 2022, 17: 014016.</w:t>
      </w:r>
      <w:r>
        <w:t xml:space="preserve"> </w:t>
      </w:r>
      <w:hyperlink r:id="rId22">
        <w:r>
          <w:rPr>
            <w:rStyle w:val="Hyperlink"/>
          </w:rPr>
          <w:t xml:space="preserve">doi:10.1103/PhysRevApplied.17.014016</w:t>
        </w:r>
      </w:hyperlink>
    </w:p>
  </w:footnote>
  <w:footnote w:id="23">
    <w:p>
      <w:pPr>
        <w:pStyle w:val="FootnoteText"/>
      </w:pPr>
      <w:r>
        <w:rPr>
          <w:rStyle w:val="FootnoteReference"/>
        </w:rPr>
        <w:footnoteRef/>
      </w:r>
      <w:r>
        <w:t xml:space="preserve"> </w:t>
      </w:r>
      <w:r>
        <w:t xml:space="preserve">Appeltant L, Soriano M C, Van der Sande G, Danckaert J, Massar S, Dambre J, Schrauwen B, Mirasso C R, Fischer I. Information processing using a single dynamical node as complex system.</w:t>
      </w:r>
      <w:r>
        <w:t xml:space="preserve"> </w:t>
      </w:r>
      <w:r>
        <w:rPr>
          <w:i/>
          <w:iCs/>
        </w:rPr>
        <w:t xml:space="preserve">Nature Communications</w:t>
      </w:r>
      <w:r>
        <w:t xml:space="preserve">, 2011, 2: 468.</w:t>
      </w:r>
      <w:r>
        <w:t xml:space="preserve"> </w:t>
      </w:r>
      <w:hyperlink r:id="rId24">
        <w:r>
          <w:rPr>
            <w:rStyle w:val="Hyperlink"/>
          </w:rPr>
          <w:t xml:space="preserve">doi:10.1038/ncomms1476</w:t>
        </w:r>
      </w:hyperlink>
    </w:p>
  </w:footnote>
  <w:footnote w:id="25">
    <w:p>
      <w:pPr>
        <w:pStyle w:val="FootnoteText"/>
      </w:pPr>
      <w:r>
        <w:rPr>
          <w:rStyle w:val="FootnoteReference"/>
        </w:rPr>
        <w:footnoteRef/>
      </w:r>
      <w:r>
        <w:t xml:space="preserve"> </w:t>
      </w:r>
      <w:r>
        <w:t xml:space="preserve">Jaeger H, Haas H. Harnessing nonlinearity: predicting chaotic systems and saving energy in wireless communication.</w:t>
      </w:r>
      <w:r>
        <w:t xml:space="preserve"> </w:t>
      </w:r>
      <w:r>
        <w:rPr>
          <w:i/>
          <w:iCs/>
        </w:rPr>
        <w:t xml:space="preserve">Science</w:t>
      </w:r>
      <w:r>
        <w:t xml:space="preserve">, 2004, 304(5667): 78–80.</w:t>
      </w:r>
      <w:r>
        <w:t xml:space="preserve"> </w:t>
      </w:r>
      <w:hyperlink r:id="rId26">
        <w:r>
          <w:rPr>
            <w:rStyle w:val="Hyperlink"/>
          </w:rPr>
          <w:t xml:space="preserve">doi:10.1126/science.1091277</w:t>
        </w:r>
      </w:hyperlink>
    </w:p>
  </w:footnote>
  <w:footnote w:id="27">
    <w:p>
      <w:pPr>
        <w:pStyle w:val="FootnoteText"/>
      </w:pPr>
      <w:r>
        <w:rPr>
          <w:rStyle w:val="FootnoteReference"/>
        </w:rPr>
        <w:footnoteRef/>
      </w:r>
      <w:r>
        <w:t xml:space="preserve"> </w:t>
      </w:r>
      <w:r>
        <w:t xml:space="preserve">Maass W, Natschläger T, Markram H. Real-time computing without stable states: a new framework for neural computation based on perturbations.</w:t>
      </w:r>
      <w:r>
        <w:t xml:space="preserve"> </w:t>
      </w:r>
      <w:r>
        <w:rPr>
          <w:i/>
          <w:iCs/>
        </w:rPr>
        <w:t xml:space="preserve">Neural Computation</w:t>
      </w:r>
      <w:r>
        <w:t xml:space="preserve">, 2002, 14(11): 2531–2560.</w:t>
      </w:r>
      <w:r>
        <w:t xml:space="preserve"> </w:t>
      </w:r>
      <w:hyperlink r:id="rId28">
        <w:r>
          <w:rPr>
            <w:rStyle w:val="Hyperlink"/>
          </w:rPr>
          <w:t xml:space="preserve">doi:10.1162/089976602760407955</w:t>
        </w:r>
      </w:hyperlink>
    </w:p>
  </w:footnote>
  <w:footnote w:id="29">
    <w:p>
      <w:pPr>
        <w:pStyle w:val="FootnoteText"/>
      </w:pPr>
      <w:r>
        <w:rPr>
          <w:rStyle w:val="FootnoteReference"/>
        </w:rPr>
        <w:footnoteRef/>
      </w:r>
      <w:r>
        <w:t xml:space="preserve"> </w:t>
      </w:r>
      <w:r>
        <w:t xml:space="preserve">Jaeger H. Short term memory in echo state networks.</w:t>
      </w:r>
      <w:r>
        <w:t xml:space="preserve"> </w:t>
      </w:r>
      <w:r>
        <w:rPr>
          <w:i/>
          <w:iCs/>
        </w:rPr>
        <w:t xml:space="preserve">GMD Report 152</w:t>
      </w:r>
      <w:r>
        <w:t xml:space="preserve">, German National Research Center for Information Technology, 2001.</w:t>
      </w:r>
    </w:p>
  </w:footnote>
  <w:footnote w:id="30">
    <w:p>
      <w:pPr>
        <w:pStyle w:val="FootnoteText"/>
      </w:pPr>
      <w:r>
        <w:rPr>
          <w:rStyle w:val="FootnoteReference"/>
        </w:rPr>
        <w:footnoteRef/>
      </w:r>
      <w:r>
        <w:t xml:space="preserve"> </w:t>
      </w:r>
      <w:r>
        <w:t xml:space="preserve">Dambre J, Verstraeten D, Schrauwen B, Massar S. Information processing capacity of dynamical systems.</w:t>
      </w:r>
      <w:r>
        <w:t xml:space="preserve"> </w:t>
      </w:r>
      <w:r>
        <w:rPr>
          <w:i/>
          <w:iCs/>
        </w:rPr>
        <w:t xml:space="preserve">Scientific Reports</w:t>
      </w:r>
      <w:r>
        <w:t xml:space="preserve">, 2012, 2: 514.</w:t>
      </w:r>
      <w:r>
        <w:t xml:space="preserve"> </w:t>
      </w:r>
      <w:hyperlink r:id="rId31">
        <w:r>
          <w:rPr>
            <w:rStyle w:val="Hyperlink"/>
          </w:rPr>
          <w:t xml:space="preserve">doi:10.1038/srep00514</w:t>
        </w:r>
      </w:hyperlink>
    </w:p>
  </w:footnote>
  <w:footnote w:id="50">
    <w:p>
      <w:pPr>
        <w:pStyle w:val="FootnoteText"/>
      </w:pPr>
      <w:r>
        <w:rPr>
          <w:rStyle w:val="FootnoteReference"/>
        </w:rPr>
        <w:footnoteRef/>
      </w:r>
      <w:r>
        <w:t xml:space="preserve"> </w:t>
      </w:r>
      <w:r>
        <w:rPr>
          <w:rFonts w:hint="eastAsia"/>
        </w:rPr>
        <w:t xml:space="preserve">容量按正交归一的信息处理容量[^rc_ipc]度量：以输入均匀分布下正交归一的Legendre多项式跨延迟乘积为基</w:t>
      </w:r>
      <w:r>
        <w:t xml:space="preserve"> </w:t>
      </w:r>
      <w:r>
        <w:rPr>
          <w:rFonts w:hint="eastAsia"/>
        </w:rPr>
        <w:t xml:space="preserve">(延迟至20步、总阶至三、序列长度</w:t>
      </w:r>
      <m:oMath>
        <m:r>
          <m:t>1.2</m:t>
        </m:r>
        <m:r>
          <m:rPr>
            <m:sty m:val="p"/>
          </m:rPr>
          <m:t>×</m:t>
        </m:r>
        <m:sSup>
          <m:e>
            <m:r>
              <m:t>10</m:t>
            </m:r>
          </m:e>
          <m:sup>
            <m:r>
              <m:t>4</m:t>
            </m:r>
          </m:sup>
        </m:sSup>
      </m:oMath>
      <w:r>
        <w:rPr>
          <w:rFonts w:hint="eastAsia"/>
        </w:rPr>
        <w:t xml:space="preserve">)，逐基函数取留出</w:t>
      </w:r>
      <m:oMath>
        <m:sSup>
          <m:e>
            <m:r>
              <m:t>r</m:t>
            </m:r>
          </m:e>
          <m:sup>
            <m:r>
              <m:t>2</m:t>
            </m:r>
          </m:sup>
        </m:sSup>
      </m:oMath>
      <w:r>
        <w:rPr>
          <w:rFonts w:hint="eastAsia"/>
        </w:rPr>
        <w:t xml:space="preserve">、以时间置换替代目标的最大容量为显著性阈值后各阶求和；总量受储备池状态秩约束，该上界在全部工作点均未触及。早期版本曾以非正交单项式的保留</w:t>
      </w:r>
      <m:oMath>
        <m:sSup>
          <m:e>
            <m:r>
              <m:t>r</m:t>
            </m:r>
          </m:e>
          <m:sup>
            <m:r>
              <m:t>2</m:t>
            </m:r>
          </m:sup>
        </m:sSup>
      </m:oMath>
      <w:r>
        <w:rPr>
          <w:rFonts w:hint="eastAsia"/>
        </w:rPr>
        <w:t xml:space="preserve">之和作实用代理，正交化后各阶数值改变，奇偶对称与二次容量释放的结构性结论不变，唯早期「总量大致守恒」的表述被修正为窗内总量随偏置上升。</w:t>
      </w:r>
    </w:p>
  </w:footnote>
  <w:footnote w:id="54">
    <w:p>
      <w:pPr>
        <w:pStyle w:val="FootnoteText"/>
      </w:pPr>
      <w:r>
        <w:rPr>
          <w:rStyle w:val="FootnoteReference"/>
        </w:rPr>
        <w:footnoteRef/>
      </w:r>
      <w:r>
        <w:t xml:space="preserve"> </w:t>
      </w:r>
      <w:r>
        <w:rPr>
          <w:rFonts w:hint="eastAsia"/>
        </w:rPr>
        <w:t xml:space="preserve">外围电路的工艺节点与各项提取方式统一见4.6节：开源sky130</w:t>
      </w:r>
      <w:r>
        <w:t xml:space="preserve"> 130 </w:t>
      </w:r>
      <w:r>
        <w:rPr>
          <w:rFonts w:hint="eastAsia"/>
        </w:rPr>
        <w:t xml:space="preserve">nm，比较器判决能由Magic提取的器件电容结合ngspice瞬态积分得到，电容数模阵列开关能以sky130单位电容密度标定。</w:t>
      </w:r>
    </w:p>
  </w:footnote>
  <w:footnote w:id="55">
    <w:p>
      <w:pPr>
        <w:pStyle w:val="FootnoteText"/>
      </w:pPr>
      <w:r>
        <w:rPr>
          <w:rStyle w:val="FootnoteReference"/>
        </w:rPr>
        <w:footnoteRef/>
      </w:r>
      <w:r>
        <w:t xml:space="preserve"> </w:t>
      </w:r>
      <w:r>
        <w:rPr>
          <w:rFonts w:hint="eastAsia"/>
        </w:rPr>
        <w:t xml:space="preserve">此处记录一次口径订正：储备池能量模型的早期版本把读出计为近乎无代价的整数乘加项，与读出精度实为记忆容量限制者的结论相矛盾；以提取参数重标定后，读出被确认为主导项，本节结论均按订正后的口径给出。</w:t>
      </w:r>
    </w:p>
  </w:footnote>
  <w:footnote w:id="56">
    <w:p>
      <w:pPr>
        <w:pStyle w:val="FootnoteText"/>
      </w:pPr>
      <w:r>
        <w:rPr>
          <w:rStyle w:val="FootnoteReference"/>
        </w:rPr>
        <w:footnoteRef/>
      </w:r>
      <w:r>
        <w:t xml:space="preserve"> </w:t>
      </w:r>
      <w:r>
        <w:t xml:space="preserve">Nakamura Y, Kubota T, Imai Y, Tsunegi S, Notsu H, Nakajima K. Ensemble reservoir computing for physical systems.</w:t>
      </w:r>
      <w:r>
        <w:t xml:space="preserve"> </w:t>
      </w:r>
      <w:r>
        <w:rPr>
          <w:i/>
          <w:iCs/>
        </w:rPr>
        <w:t xml:space="preserve">arXiv preprint</w:t>
      </w:r>
      <w:r>
        <w:t xml:space="preserve">, 2026.</w:t>
      </w:r>
      <w:r>
        <w:t xml:space="preserve"> </w:t>
      </w:r>
      <w:hyperlink r:id="rId57">
        <w:r>
          <w:rPr>
            <w:rStyle w:val="Hyperlink"/>
          </w:rPr>
          <w:t xml:space="preserve">arXiv:2601.21807</w:t>
        </w:r>
      </w:hyperlink>
    </w:p>
  </w:footnote>
  <w:footnote w:id="65">
    <w:p>
      <w:pPr>
        <w:pStyle w:val="FootnoteText"/>
      </w:pPr>
      <w:r>
        <w:rPr>
          <w:rStyle w:val="FootnoteReference"/>
        </w:rPr>
        <w:footnoteRef/>
      </w:r>
      <w:r>
        <w:t xml:space="preserve"> </w:t>
      </w:r>
      <w:r>
        <w:rPr>
          <w:rFonts w:hint="eastAsia"/>
        </w:rPr>
        <w:t xml:space="preserve">本工作工作点下最优</w:t>
      </w:r>
      <m:oMath>
        <m:r>
          <m:rPr>
            <m:sty m:val="p"/>
          </m:rPr>
          <m:t>Δ</m:t>
        </m:r>
      </m:oMath>
      <w:r>
        <w:rPr>
          <w:rFonts w:hint="eastAsia"/>
        </w:rPr>
        <w:t xml:space="preserve">约为4，平缓高原覆盖3.5至4.3，相对PBNN写器件的</w:t>
      </w:r>
      <m:oMath>
        <m:r>
          <m:t>4.91</m:t>
        </m:r>
      </m:oMath>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hyperlink" Id="rId57" Target="https://arxiv.org/abs/2601.21807" TargetMode="External" /><Relationship Type="http://schemas.openxmlformats.org/officeDocument/2006/relationships/hyperlink" Id="rId14" Target="https://doi.org/10.1038/nature23011" TargetMode="External" /><Relationship Type="http://schemas.openxmlformats.org/officeDocument/2006/relationships/hyperlink" Id="rId24" Target="https://doi.org/10.1038/ncomms1476" TargetMode="External" /><Relationship Type="http://schemas.openxmlformats.org/officeDocument/2006/relationships/hyperlink" Id="rId20" Target="https://doi.org/10.1038/s41586-019-1557-9" TargetMode="External" /><Relationship Type="http://schemas.openxmlformats.org/officeDocument/2006/relationships/hyperlink" Id="rId16" Target="https://doi.org/10.1038/s41928-019-0360-9" TargetMode="External" /><Relationship Type="http://schemas.openxmlformats.org/officeDocument/2006/relationships/hyperlink" Id="rId31" Target="https://doi.org/10.1038/srep00514" TargetMode="External" /><Relationship Type="http://schemas.openxmlformats.org/officeDocument/2006/relationships/hyperlink" Id="rId18" Target="https://doi.org/10.1063/1.5055860" TargetMode="External" /><Relationship Type="http://schemas.openxmlformats.org/officeDocument/2006/relationships/hyperlink" Id="rId22" Target="https://doi.org/10.1103/PhysRevApplied.17.014016" TargetMode="External" /><Relationship Type="http://schemas.openxmlformats.org/officeDocument/2006/relationships/hyperlink" Id="rId26" Target="https://doi.org/10.1126/science.1091277" TargetMode="External" /><Relationship Type="http://schemas.openxmlformats.org/officeDocument/2006/relationships/hyperlink" Id="rId28" Target="https://doi.org/10.1162/089976602760407955" TargetMode="External" /></Relationships>
</file>

<file path=word/_rels/footnotes.xml.rels><?xml version="1.0" encoding="UTF-8"?><Relationships xmlns="http://schemas.openxmlformats.org/package/2006/relationships"><Relationship Type="http://schemas.openxmlformats.org/officeDocument/2006/relationships/hyperlink" Id="rId57" Target="https://arxiv.org/abs/2601.21807" TargetMode="External" /><Relationship Type="http://schemas.openxmlformats.org/officeDocument/2006/relationships/hyperlink" Id="rId14" Target="https://doi.org/10.1038/nature23011" TargetMode="External" /><Relationship Type="http://schemas.openxmlformats.org/officeDocument/2006/relationships/hyperlink" Id="rId24" Target="https://doi.org/10.1038/ncomms1476" TargetMode="External" /><Relationship Type="http://schemas.openxmlformats.org/officeDocument/2006/relationships/hyperlink" Id="rId20" Target="https://doi.org/10.1038/s41586-019-1557-9" TargetMode="External" /><Relationship Type="http://schemas.openxmlformats.org/officeDocument/2006/relationships/hyperlink" Id="rId16" Target="https://doi.org/10.1038/s41928-019-0360-9" TargetMode="External" /><Relationship Type="http://schemas.openxmlformats.org/officeDocument/2006/relationships/hyperlink" Id="rId31" Target="https://doi.org/10.1038/srep00514" TargetMode="External" /><Relationship Type="http://schemas.openxmlformats.org/officeDocument/2006/relationships/hyperlink" Id="rId18" Target="https://doi.org/10.1063/1.5055860" TargetMode="External" /><Relationship Type="http://schemas.openxmlformats.org/officeDocument/2006/relationships/hyperlink" Id="rId22" Target="https://doi.org/10.1103/PhysRevApplied.17.014016" TargetMode="External" /><Relationship Type="http://schemas.openxmlformats.org/officeDocument/2006/relationships/hyperlink" Id="rId26" Target="https://doi.org/10.1126/science.1091277" TargetMode="External" /><Relationship Type="http://schemas.openxmlformats.org/officeDocument/2006/relationships/hyperlink" Id="rId28" Target="https://doi.org/10.1162/0899766027604079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2026-07-12T16:33:44Z</dcterms:created>
  <dcterms:modified xsi:type="dcterms:W3CDTF">2026-07-12T16:33:44Z</dcterms:modified>
</cp:coreProperties>
</file>

<file path=docProps/custom.xml><?xml version="1.0" encoding="utf-8"?>
<Properties xmlns="http://schemas.openxmlformats.org/officeDocument/2006/custom-properties" xmlns:vt="http://schemas.openxmlformats.org/officeDocument/2006/docPropsVTypes"/>
</file>