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7.png" ContentType="image/png"/>
  <Override PartName="/word/media/rId6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72401"/>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72401"/>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999208"/>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999208"/>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82070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82070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820990"/>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82099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811218"/>
            <wp:effectExtent b="0" l="0" r="0" t="0"/>
            <wp:docPr descr="" title="" id="44" name="Picture"/>
            <a:graphic>
              <a:graphicData uri="http://schemas.openxmlformats.org/drawingml/2006/picture">
                <pic:pic>
                  <pic:nvPicPr>
                    <pic:cNvPr descr="figs/Chapter05_local_05.png" id="45" name="Picture"/>
                    <pic:cNvPicPr>
                      <a:picLocks noChangeArrowheads="1" noChangeAspect="1"/>
                    </pic:cNvPicPr>
                  </pic:nvPicPr>
                  <pic:blipFill>
                    <a:blip r:embed="rId43"/>
                    <a:stretch>
                      <a:fillRect/>
                    </a:stretch>
                  </pic:blipFill>
                  <pic:spPr bwMode="auto">
                    <a:xfrm>
                      <a:off x="0" y="0"/>
                      <a:ext cx="5334000" cy="3811218"/>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3"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06953"/>
            <wp:effectExtent b="0" l="0" r="0" t="0"/>
            <wp:docPr descr="" title="" id="48" name="Picture"/>
            <a:graphic>
              <a:graphicData uri="http://schemas.openxmlformats.org/drawingml/2006/picture">
                <pic:pic>
                  <pic:nvPicPr>
                    <pic:cNvPr descr="figs/Chapter05_local_06.png" id="49" name="Picture"/>
                    <pic:cNvPicPr>
                      <a:picLocks noChangeArrowheads="1" noChangeAspect="1"/>
                    </pic:cNvPicPr>
                  </pic:nvPicPr>
                  <pic:blipFill>
                    <a:blip r:embed="rId47"/>
                    <a:stretch>
                      <a:fillRect/>
                    </a:stretch>
                  </pic:blipFill>
                  <pic:spPr bwMode="auto">
                    <a:xfrm>
                      <a:off x="0" y="0"/>
                      <a:ext cx="5334000" cy="380695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805731"/>
            <wp:effectExtent b="0" l="0" r="0" t="0"/>
            <wp:docPr descr="" title="" id="52" name="Picture"/>
            <a:graphic>
              <a:graphicData uri="http://schemas.openxmlformats.org/drawingml/2006/picture">
                <pic:pic>
                  <pic:nvPicPr>
                    <pic:cNvPr descr="figs/Chapter05_local_07.png" id="53" name="Picture"/>
                    <pic:cNvPicPr>
                      <a:picLocks noChangeArrowheads="1" noChangeAspect="1"/>
                    </pic:cNvPicPr>
                  </pic:nvPicPr>
                  <pic:blipFill>
                    <a:blip r:embed="rId51"/>
                    <a:stretch>
                      <a:fillRect/>
                    </a:stretch>
                  </pic:blipFill>
                  <pic:spPr bwMode="auto">
                    <a:xfrm>
                      <a:off x="0" y="0"/>
                      <a:ext cx="5334000" cy="380573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、1000步推理下，sMTJ-RC的读出能量以提取的sky130</w:t>
      </w:r>
      <w:r>
        <w:t xml:space="preserve"> </w:t>
      </w:r>
      <w:r>
        <w:rPr>
          <w:rFonts w:hint="eastAsia"/>
        </w:rPr>
        <w:t xml:space="preserve">StrongARM比较器与电容数模阵列标定的逐次逼近转换为准、不再视为无代价</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上述能量对比把读出连同模数转换计入，其底层是一处值得单独说明的协同设计。原储备池能量模型把读出视为近乎无代价，而读出精度实为记忆容量的限制者，二者矛盾。把模数转换能量以提取的sky130</w:t>
      </w:r>
      <w:r>
        <w:t xml:space="preserve"> </w:t>
      </w:r>
      <w:r>
        <w:rPr>
          <w:rFonts w:hint="eastAsia"/>
        </w:rPr>
        <w:t xml:space="preserve">StrongARM比较器作逐次逼近转换器的比较器项、电容数模阵列的开关能量以sky130单位电容标定后，读出确非无代价：比较器即使3位分辨也已占储备池总能量近九成</w:t>
      </w:r>
      <w:r>
        <w:t xml:space="preserve"> </w:t>
      </w:r>
      <w:r>
        <w:rPr>
          <w:rFonts w:hint="eastAsia"/>
        </w:rPr>
        <w:t xml:space="preserve">(图5.9)；但比较器项随位数线性增长，故分辨率的能量惩罚温和。对集成式储备池而言低至中等分辨读出即足这一结论本身在近期工作中已有报道</w:t>
      </w:r>
      <w:r>
        <w:rPr>
          <w:rStyle w:val="FootnoteReference"/>
        </w:rPr>
        <w:footnoteReference w:id="55"/>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58" name="Picture"/>
            <a:graphic>
              <a:graphicData uri="http://schemas.openxmlformats.org/drawingml/2006/picture">
                <pic:pic>
                  <pic:nvPicPr>
                    <pic:cNvPr descr="figs/Chapter05_local_08.png" id="59" name="Picture"/>
                    <pic:cNvPicPr>
                      <a:picLocks noChangeArrowheads="1" noChangeAspect="1"/>
                    </pic:cNvPicPr>
                  </pic:nvPicPr>
                  <pic:blipFill>
                    <a:blip r:embed="rId57"/>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822410"/>
            <wp:effectExtent b="0" l="0" r="0" t="0"/>
            <wp:docPr descr="" title="" id="61" name="Picture"/>
            <a:graphic>
              <a:graphicData uri="http://schemas.openxmlformats.org/drawingml/2006/picture">
                <pic:pic>
                  <pic:nvPicPr>
                    <pic:cNvPr descr="figs/Chapter05_local_09.png" id="62" name="Picture"/>
                    <pic:cNvPicPr>
                      <a:picLocks noChangeArrowheads="1" noChangeAspect="1"/>
                    </pic:cNvPicPr>
                  </pic:nvPicPr>
                  <pic:blipFill>
                    <a:blip r:embed="rId60"/>
                    <a:stretch>
                      <a:fillRect/>
                    </a:stretch>
                  </pic:blipFill>
                  <pic:spPr bwMode="auto">
                    <a:xfrm>
                      <a:off x="0" y="0"/>
                      <a:ext cx="5334000" cy="1822410"/>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3"/>
    <w:bookmarkStart w:id="68"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4"/>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611235"/>
            <wp:effectExtent b="0" l="0" r="0" t="0"/>
            <wp:docPr descr="" title="" id="66" name="Picture"/>
            <a:graphic>
              <a:graphicData uri="http://schemas.openxmlformats.org/drawingml/2006/picture">
                <pic:pic>
                  <pic:nvPicPr>
                    <pic:cNvPr descr="figs/Chapter05_local_10.png" id="67" name="Picture"/>
                    <pic:cNvPicPr>
                      <a:picLocks noChangeArrowheads="1" noChangeAspect="1"/>
                    </pic:cNvPicPr>
                  </pic:nvPicPr>
                  <pic:blipFill>
                    <a:blip r:embed="rId65"/>
                    <a:stretch>
                      <a:fillRect/>
                    </a:stretch>
                  </pic:blipFill>
                  <pic:spPr bwMode="auto">
                    <a:xfrm>
                      <a:off x="0" y="0"/>
                      <a:ext cx="5334000" cy="2611235"/>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68"/>
    <w:bookmarkStart w:id="69" w:name="参考文献"/>
    <w:p>
      <w:pPr>
        <w:pStyle w:val="Heading2"/>
      </w:pPr>
      <w:r>
        <w:rPr>
          <w:rFonts w:hint="eastAsia"/>
        </w:rPr>
        <w:t xml:space="preserve">参考文献</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6">
        <w:r>
          <w:rPr>
            <w:rStyle w:val="Hyperlink"/>
          </w:rPr>
          <w:t xml:space="preserve">arXiv:2601.21807</w:t>
        </w:r>
      </w:hyperlink>
    </w:p>
  </w:footnote>
  <w:footnote w:id="64">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2026-07-08T00:02:18Z</dcterms:created>
  <dcterms:modified xsi:type="dcterms:W3CDTF">2026-07-08T00:02:18Z</dcterms:modified>
</cp:coreProperties>
</file>

<file path=docProps/custom.xml><?xml version="1.0" encoding="utf-8"?>
<Properties xmlns="http://schemas.openxmlformats.org/officeDocument/2006/custom-properties" xmlns:vt="http://schemas.openxmlformats.org/officeDocument/2006/docPropsVTypes"/>
</file>