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附录a-卷积拓扑与复杂图像数据集上的pbnn扩展实验"/>
    <w:p>
      <w:pPr>
        <w:pStyle w:val="Heading1"/>
      </w:pPr>
      <w:r>
        <w:rPr>
          <w:rFonts w:hint="eastAsia"/>
        </w:rPr>
        <w:t xml:space="preserve">附录A</w:t>
      </w:r>
      <w:r>
        <w:t xml:space="preserve"> </w:t>
      </w:r>
      <w:r>
        <w:rPr>
          <w:rFonts w:hint="eastAsia"/>
        </w:rPr>
        <w:t xml:space="preserve">卷积拓扑与复杂图像数据集上的PBNN扩展实验</w:t>
      </w:r>
    </w:p>
    <w:p>
      <w:pPr>
        <w:pStyle w:val="FirstParagraph"/>
      </w:pPr>
      <w:r>
        <w:rPr>
          <w:rFonts w:hint="eastAsia"/>
        </w:rPr>
        <w:t xml:space="preserve">正文第4.4–4.5节基于MNIST手写数字与UCI表格任务，用三层PBNN-MLP完成了精度、采样次数与基线对照的核心分析。本附录把同一PBNN构造扩展到卷积拓扑</w:t>
      </w:r>
      <w:r>
        <w:t xml:space="preserve"> </w:t>
      </w:r>
      <w:r>
        <w:rPr>
          <w:rFonts w:hint="eastAsia"/>
        </w:rPr>
        <w:t xml:space="preserve">(PBNN-CNN)，并沿判别难度递增的方向迁移到两个图像数据集：Fashion-MNIST服饰分类</w:t>
      </w:r>
      <w:r>
        <w:rPr>
          <w:rStyle w:val="FootnoteReference"/>
        </w:rPr>
        <w:footnoteReference w:id="9"/>
      </w:r>
      <w:r>
        <w:t xml:space="preserve"> </w:t>
      </w:r>
      <w:r>
        <w:t xml:space="preserve">(</w:t>
      </w:r>
    </w:p>
    <w:p>
      <w:pPr>
        <w:pStyle w:val="BodyText"/>
      </w:pPr>
      <m:oMathPara>
        <m:oMathParaPr>
          <m:jc m:val="center"/>
        </m:oMathParaPr>
        <m:oMath>
          <m:r>
            <m:t>28</m:t>
          </m:r>
          <m:r>
            <m:rPr>
              <m:sty m:val="p"/>
            </m:rPr>
            <m:t>×</m:t>
          </m:r>
          <m:r>
            <m:t>28</m:t>
          </m:r>
        </m:oMath>
      </m:oMathPara>
    </w:p>
    <w:p>
      <w:pPr>
        <w:pStyle w:val="FirstParagraph"/>
      </w:pPr>
      <w:r>
        <w:rPr>
          <w:rFonts w:hint="eastAsia"/>
        </w:rPr>
        <w:t xml:space="preserve">灰度，难度介于手写数字与自然图像之间)</w:t>
      </w:r>
      <w:r>
        <w:t xml:space="preserve"> </w:t>
      </w:r>
      <w:r>
        <w:rPr>
          <w:rFonts w:hint="eastAsia"/>
        </w:rPr>
        <w:t xml:space="preserve">与CIFAR-10自然图像分类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(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×</m:t>
          </m:r>
          <m:r>
            <m:t>32</m:t>
          </m:r>
        </m:oMath>
      </m:oMathPara>
    </w:p>
    <w:p>
      <w:pPr>
        <w:pStyle w:val="FirstParagraph"/>
      </w:pPr>
      <w:r>
        <w:rPr>
          <w:rFonts w:hint="eastAsia"/>
        </w:rPr>
        <w:t xml:space="preserve">RGB，含飞机、汽车、鸟、猫等10类自然物体，是二值网络公认的难基准)，以检验正文基于MLP-MNIST得到的两个核心结论</w:t>
      </w:r>
      <w:r>
        <w:t xml:space="preserve"> </w:t>
      </w:r>
      <w:r>
        <w:rPr>
          <w:rFonts w:hint="eastAsia"/>
        </w:rPr>
        <w:t xml:space="preserve">(二值架构相对全精度的容量代价、时域展开的采样-精度收敛特性)</w:t>
      </w:r>
      <w:r>
        <w:t xml:space="preserve"> </w:t>
      </w:r>
      <w:r>
        <w:rPr>
          <w:rFonts w:hint="eastAsia"/>
        </w:rPr>
        <w:t xml:space="preserve">在更深的网络与更难的数据上是否依然成立。本附录的图表独立编号</w:t>
      </w:r>
      <w:r>
        <w:t xml:space="preserve"> </w:t>
      </w:r>
      <w:r>
        <w:rPr>
          <w:rFonts w:hint="eastAsia"/>
        </w:rPr>
        <w:t xml:space="preserve">(图A.x、表A.x)，正文编号不受影响。</w:t>
      </w:r>
    </w:p>
    <w:bookmarkStart w:id="20" w:name="a.1-网络拓扑与训练设置"/>
    <w:p>
      <w:pPr>
        <w:pStyle w:val="Heading2"/>
      </w:pPr>
      <w:r>
        <w:t xml:space="preserve">A.1 </w:t>
      </w:r>
      <w:r>
        <w:rPr>
          <w:rFonts w:hint="eastAsia"/>
        </w:rPr>
        <w:t xml:space="preserve">网络拓扑与训练设置</w:t>
      </w:r>
    </w:p>
    <w:p>
      <w:pPr>
        <w:pStyle w:val="FirstParagraph"/>
      </w:pPr>
      <w:r>
        <w:rPr>
          <w:rFonts w:hint="eastAsia"/>
        </w:rPr>
        <w:t xml:space="preserve">PBNN-CNN对Fashion-MNIST采用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→</m:t>
          </m:r>
          <m:r>
            <m:t>64</m:t>
          </m:r>
          <m:r>
            <m:rPr>
              <m:sty m:val="p"/>
            </m:rPr>
            <m:t>→</m:t>
          </m:r>
          <m:r>
            <m:t>64</m:t>
          </m:r>
          <m:r>
            <m:rPr>
              <m:sty m:val="p"/>
            </m:rPr>
            <m:t>→</m:t>
          </m:r>
          <m:r>
            <m:t>128</m:t>
          </m:r>
          <m:r>
            <m:rPr>
              <m:sty m:val="p"/>
            </m:rPr>
            <m:t>→</m:t>
          </m:r>
          <m:r>
            <m:t>128</m:t>
          </m:r>
        </m:oMath>
      </m:oMathPara>
    </w:p>
    <w:p>
      <w:pPr>
        <w:pStyle w:val="FirstParagraph"/>
      </w:pPr>
      <w:r>
        <w:rPr>
          <w:rFonts w:hint="eastAsia"/>
        </w:rPr>
        <w:t xml:space="preserve">四层卷积</w:t>
      </w:r>
      <w:r>
        <w:t xml:space="preserve"> </w:t>
      </w:r>
      <w:r>
        <w:rPr>
          <w:rFonts w:hint="eastAsia"/>
        </w:rPr>
        <w:t xml:space="preserve">(核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×</m:t>
          </m:r>
          <m:r>
            <m:t>3</m:t>
          </m:r>
        </m:oMath>
      </m:oMathPara>
    </w:p>
    <w:p>
      <w:pPr>
        <w:pStyle w:val="FirstParagraph"/>
      </w:pPr>
      <w:r>
        <w:t xml:space="preserve">、pad </w:t>
      </w:r>
      <w:r>
        <w:rPr>
          <w:rFonts w:hint="eastAsia"/>
        </w:rPr>
        <w:t xml:space="preserve">1，每两层接一次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最大池化，分辨率</w:t>
      </w:r>
    </w:p>
    <w:p>
      <w:pPr>
        <w:pStyle w:val="BodyText"/>
      </w:pPr>
      <m:oMathPara>
        <m:oMathParaPr>
          <m:jc m:val="center"/>
        </m:oMathParaPr>
        <m:oMath>
          <m:r>
            <m:t>28</m:t>
          </m:r>
          <m:r>
            <m:rPr>
              <m:sty m:val="p"/>
            </m:rPr>
            <m:t>→</m:t>
          </m:r>
          <m:r>
            <m:t>14</m:t>
          </m:r>
          <m:r>
            <m:rPr>
              <m:sty m:val="p"/>
            </m:rPr>
            <m:t>→</m:t>
          </m:r>
          <m:r>
            <m:t>7</m:t>
          </m:r>
        </m:oMath>
      </m:oMathPara>
    </w:p>
    <w:p>
      <w:pPr>
        <w:pStyle w:val="FirstParagraph"/>
      </w:pPr>
      <w:r>
        <w:t xml:space="preserve">) </w:t>
      </w:r>
      <w:r>
        <w:rPr>
          <w:rFonts w:hint="eastAsia"/>
        </w:rPr>
        <w:t xml:space="preserve">加</w:t>
      </w:r>
    </w:p>
    <w:p>
      <w:pPr>
        <w:pStyle w:val="BodyText"/>
      </w:pPr>
      <m:oMathPara>
        <m:oMathParaPr>
          <m:jc m:val="center"/>
        </m:oMathParaPr>
        <m:oMath>
          <m:r>
            <m:t>128</m:t>
          </m:r>
          <m:r>
            <m:t>​</m:t>
          </m:r>
          <m:r>
            <m:rPr>
              <m:sty m:val="p"/>
            </m:rPr>
            <m:t>×</m:t>
          </m:r>
          <m:r>
            <m:t>​</m:t>
          </m:r>
          <m:r>
            <m:t>7</m:t>
          </m:r>
          <m:r>
            <m:t>​</m:t>
          </m:r>
          <m:r>
            <m:rPr>
              <m:sty m:val="p"/>
            </m:rPr>
            <m:t>×</m:t>
          </m:r>
          <m:r>
            <m:t>​</m:t>
          </m:r>
          <m:r>
            <m:t>7</m:t>
          </m:r>
          <m:r>
            <m:rPr>
              <m:sty m:val="p"/>
            </m:rPr>
            <m:t>→</m:t>
          </m:r>
          <m:r>
            <m:t>1024</m:t>
          </m:r>
          <m:r>
            <m:rPr>
              <m:sty m:val="p"/>
            </m:rPr>
            <m:t>→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/>
        </w:rPr>
        <w:t xml:space="preserve">两层全连接；对CIFAR-10在前面增加一组卷积扩展为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→</m:t>
          </m:r>
          <m:r>
            <m:t>64</m:t>
          </m:r>
          <m:r>
            <m:rPr>
              <m:sty m:val="p"/>
            </m:rPr>
            <m:t>→</m:t>
          </m:r>
          <m:r>
            <m:t>64</m:t>
          </m:r>
          <m:r>
            <m:rPr>
              <m:sty m:val="p"/>
            </m:rPr>
            <m:t>→</m:t>
          </m:r>
          <m:r>
            <m:t>128</m:t>
          </m:r>
          <m:r>
            <m:rPr>
              <m:sty m:val="p"/>
            </m:rPr>
            <m:t>→</m:t>
          </m:r>
          <m:r>
            <m:t>128</m:t>
          </m:r>
          <m:r>
            <m:rPr>
              <m:sty m:val="p"/>
            </m:rPr>
            <m:t>→</m:t>
          </m:r>
          <m:r>
            <m:t>256</m:t>
          </m:r>
          <m:r>
            <m:rPr>
              <m:sty m:val="p"/>
            </m:rPr>
            <m:t>→</m:t>
          </m:r>
          <m:r>
            <m:t>256</m:t>
          </m:r>
        </m:oMath>
      </m:oMathPara>
    </w:p>
    <w:p>
      <w:pPr>
        <w:pStyle w:val="FirstParagraph"/>
      </w:pPr>
      <w:r>
        <w:rPr>
          <w:rFonts w:hint="eastAsia"/>
        </w:rPr>
        <w:t xml:space="preserve">六层卷积</w:t>
      </w:r>
      <w:r>
        <w:t xml:space="preserve"> </w:t>
      </w:r>
      <w:r>
        <w:rPr>
          <w:rFonts w:hint="eastAsia"/>
        </w:rPr>
        <w:t xml:space="preserve">(三次池化，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  <m:r>
            <m:rPr>
              <m:sty m:val="p"/>
            </m:rPr>
            <m:t>→</m:t>
          </m:r>
          <m:r>
            <m:t>16</m:t>
          </m:r>
          <m:r>
            <m:rPr>
              <m:sty m:val="p"/>
            </m:rPr>
            <m:t>→</m:t>
          </m:r>
          <m:r>
            <m:t>8</m:t>
          </m:r>
          <m:r>
            <m:rPr>
              <m:sty m:val="p"/>
            </m:rPr>
            <m:t>→</m:t>
          </m:r>
          <m:r>
            <m:t>4</m:t>
          </m:r>
        </m:oMath>
      </m:oMathPara>
    </w:p>
    <w:p>
      <w:pPr>
        <w:pStyle w:val="FirstParagraph"/>
      </w:pPr>
      <w:r>
        <w:t xml:space="preserve">) </w:t>
      </w:r>
      <w:r>
        <w:rPr>
          <w:rFonts w:hint="eastAsia"/>
        </w:rPr>
        <w:t xml:space="preserve">加</w:t>
      </w:r>
    </w:p>
    <w:p>
      <w:pPr>
        <w:pStyle w:val="BodyText"/>
      </w:pPr>
      <m:oMathPara>
        <m:oMathParaPr>
          <m:jc m:val="center"/>
        </m:oMathParaPr>
        <m:oMath>
          <m:r>
            <m:t>256</m:t>
          </m:r>
          <m:r>
            <m:t>​</m:t>
          </m:r>
          <m:r>
            <m:rPr>
              <m:sty m:val="p"/>
            </m:rPr>
            <m:t>×</m:t>
          </m:r>
          <m:r>
            <m:t>​</m:t>
          </m:r>
          <m:r>
            <m:t>4</m:t>
          </m:r>
          <m:r>
            <m:t>​</m:t>
          </m:r>
          <m:r>
            <m:rPr>
              <m:sty m:val="p"/>
            </m:rPr>
            <m:t>×</m:t>
          </m:r>
          <m:r>
            <m:t>​</m:t>
          </m:r>
          <m:r>
            <m:t>4</m:t>
          </m:r>
          <m:r>
            <m:rPr>
              <m:sty m:val="p"/>
            </m:rPr>
            <m:t>→</m:t>
          </m:r>
          <m:r>
            <m:t>1024</m:t>
          </m:r>
          <m:r>
            <m:rPr>
              <m:sty m:val="p"/>
            </m:rPr>
            <m:t>→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/>
        </w:rPr>
        <w:t xml:space="preserve">。两套网络的卷积主干与全连接层均以PBNNConv2d/PBNNLinear实现、激活为sign-STE，与Courbariaux等人的BinaryNet配置同构</w:t>
      </w:r>
      <w:r>
        <w:rPr>
          <w:rStyle w:val="FootnoteReference"/>
        </w:rPr>
        <w:footnoteReference w:id="12"/>
      </w:r>
      <w:r>
        <w:rPr>
          <w:rFonts w:hint="eastAsia"/>
        </w:rPr>
        <w:t xml:space="preserve">；遵循二值网络在RGB输入上的通行做法，CIFAR-10网络的</w:t>
      </w:r>
      <w:r>
        <w:rPr>
          <w:rFonts w:hint="eastAsia"/>
          <w:b/>
          <w:bCs/>
        </w:rPr>
        <w:t xml:space="preserve">首层卷积保留全精度</w:t>
      </w:r>
      <w:r>
        <w:t xml:space="preserve"> </w:t>
      </w:r>
      <w:r>
        <w:rPr>
          <w:rFonts w:hint="eastAsia"/>
        </w:rPr>
        <w:t xml:space="preserve">(直接二值化三通道原始像素会摧毁过多输入信息，使精度塌缩至接近随机)，其余卷积与全连接全部二值。BNN-CNN与FP-CNN基线共用同一拓扑，分别把二值层替换为带sign-STE的</w:t>
      </w:r>
      <w:r>
        <w:rPr>
          <w:rStyle w:val="VerbatimChar"/>
        </w:rPr>
        <w:t xml:space="preserve">_BinConv2d</w:t>
      </w:r>
      <w:r>
        <w:rPr>
          <w:rFonts w:hint="eastAsia"/>
        </w:rPr>
        <w:t xml:space="preserve">/DeterministicBinaryLinear与</w:t>
      </w:r>
      <w:r>
        <w:rPr>
          <w:rStyle w:val="VerbatimChar"/>
        </w:rPr>
        <w:t xml:space="preserve">nn.Conv2d</w:t>
      </w:r>
      <w:r>
        <w:t xml:space="preserve">/</w:t>
      </w:r>
      <w:r>
        <w:rPr>
          <w:rStyle w:val="VerbatimChar"/>
        </w:rPr>
        <w:t xml:space="preserve">nn.Linear</w:t>
      </w:r>
      <w:r>
        <w:rPr>
          <w:rFonts w:hint="eastAsia"/>
        </w:rPr>
        <w:t xml:space="preserve">，FP-CNN同时给出FP32与INT8两档QAT变体。Fashion-MNIST四种网络以Adam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、batch </w:t>
      </w:r>
      <w:r>
        <w:rPr>
          <w:rFonts w:hint="eastAsia"/>
        </w:rPr>
        <w:t xml:space="preserve">128、20轮训练；CIFAR-10的二值网络收敛显著更慢</w:t>
      </w:r>
      <w:r>
        <w:t xml:space="preserve"> </w:t>
      </w:r>
      <w:r>
        <w:rPr>
          <w:rFonts w:hint="eastAsia"/>
        </w:rPr>
        <w:t xml:space="preserve">(BinaryNet文献常需数百轮)，故统一采用60轮配余弦退火学习率</w:t>
      </w:r>
      <w:r>
        <w:t xml:space="preserve"> </w:t>
      </w:r>
      <w:r>
        <w:rPr>
          <w:rFonts w:hint="eastAsia"/>
        </w:rPr>
        <w:t xml:space="preserve">(正文4.5节末段已表明余弦/OneCycle调度对二值PBNN收益最大)。两数据集的训练曲线如图A.1、图A.2所示，最佳测试精度汇总于表A.1。</w:t>
      </w:r>
    </w:p>
    <w:p>
      <w:pPr>
        <w:pStyle w:val="CaptionedFigure"/>
      </w:pPr>
      <w:r>
        <w:drawing>
          <wp:inline>
            <wp:extent cx="5334000" cy="2162293"/>
            <wp:effectExtent b="0" l="0" r="0" t="0"/>
            <wp:docPr descr="图A.1 Fashion-MNIST上PBNN-CNN与基线的训练曲线" title="" id="15" name="Picture"/>
            <a:graphic>
              <a:graphicData uri="http://schemas.openxmlformats.org/drawingml/2006/picture">
                <pic:pic>
                  <pic:nvPicPr>
                    <pic:cNvPr descr="figs/AppendixA_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图A.1</w:t>
      </w:r>
      <w:r>
        <w:t xml:space="preserve"> </w:t>
      </w:r>
      <w:r>
        <w:rPr>
          <w:rFonts w:hint="eastAsia"/>
        </w:rPr>
        <w:t xml:space="preserve">Fashion-MNIST上PBNN-CNN与基线的训练曲线</w:t>
      </w:r>
    </w:p>
    <w:p>
      <w:pPr>
        <w:pStyle w:val="BodyText"/>
      </w:pPr>
      <w:r>
        <w:rPr>
          <w:rFonts w:hint="eastAsia"/>
          <w:b/>
          <w:bCs/>
        </w:rPr>
        <w:t xml:space="preserve">图A.1</w:t>
      </w:r>
      <w:r>
        <w:t xml:space="preserve"> </w:t>
      </w:r>
      <w:r>
        <w:rPr>
          <w:rFonts w:hint="eastAsia"/>
        </w:rPr>
        <w:t xml:space="preserve">Fashion-MNIST上PBNN-CNN</w:t>
      </w:r>
      <w:r>
        <w:t xml:space="preserve"> </w:t>
      </w:r>
      <w:r>
        <w:rPr>
          <w:rFonts w:hint="eastAsia"/>
        </w:rPr>
        <w:t xml:space="preserve">(二值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±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、sMTJ)、确定性BNN-CNN</w:t>
      </w:r>
      <w:r>
        <w:t xml:space="preserve"> </w:t>
      </w:r>
      <w:r>
        <w:rPr>
          <w:rFonts w:hint="eastAsia"/>
        </w:rPr>
        <w:t xml:space="preserve">(数字sign-STE)</w:t>
      </w:r>
      <w:r>
        <w:t xml:space="preserve"> </w:t>
      </w:r>
      <w:r>
        <w:rPr>
          <w:rFonts w:hint="eastAsia"/>
        </w:rPr>
        <w:t xml:space="preserve">与FP-CNN</w:t>
      </w:r>
      <w:r>
        <w:t xml:space="preserve"> (FP32 + INT8 QAT) </w:t>
      </w:r>
      <w:r>
        <w:rPr>
          <w:rFonts w:hint="eastAsia"/>
        </w:rPr>
        <w:t xml:space="preserve">共用四层卷积</w:t>
      </w:r>
      <w:r>
        <w:t xml:space="preserve"> + </w:t>
      </w:r>
      <w:r>
        <w:rPr>
          <w:rFonts w:hint="eastAsia"/>
        </w:rPr>
        <w:t xml:space="preserve">两层全连接同拓扑下的测试精度</w:t>
      </w:r>
      <w:r>
        <w:t xml:space="preserve"> </w:t>
      </w:r>
      <w:r>
        <w:rPr>
          <w:rFonts w:hint="eastAsia"/>
        </w:rPr>
        <w:t xml:space="preserve">(左)</w:t>
      </w:r>
      <w:r>
        <w:t xml:space="preserve"> </w:t>
      </w:r>
      <w:r>
        <w:rPr>
          <w:rFonts w:hint="eastAsia"/>
        </w:rPr>
        <w:t xml:space="preserve">与测试损失</w:t>
      </w:r>
      <w:r>
        <w:t xml:space="preserve"> </w:t>
      </w:r>
      <w:r>
        <w:rPr>
          <w:rFonts w:hint="eastAsia"/>
        </w:rPr>
        <w:t xml:space="preserve">(右)</w:t>
      </w:r>
      <w:r>
        <w:t xml:space="preserve"> </w:t>
      </w:r>
      <w:r>
        <w:rPr>
          <w:rFonts w:hint="eastAsia"/>
        </w:rPr>
        <w:t xml:space="preserve">随训练轮数演化，对数纵轴。FP32收敛至93.58%、INT8与之相距0.06pp，二值架构</w:t>
      </w:r>
      <w:r>
        <w:t xml:space="preserve"> (PBNN-CNN 88.11%、BNN-CNN 87.60%) </w:t>
      </w:r>
      <w:r>
        <w:rPr>
          <w:rFonts w:hint="eastAsia"/>
        </w:rPr>
        <w:t xml:space="preserve">几乎完全重合，与FP32相距约5.5个百分点；定性形态与正文图4.4(b)的MLP-MNIST曲线一致。</w:t>
      </w:r>
    </w:p>
    <w:p>
      <w:pPr>
        <w:pStyle w:val="CaptionedFigure"/>
      </w:pPr>
      <w:r>
        <w:drawing>
          <wp:inline>
            <wp:extent cx="5334000" cy="2162293"/>
            <wp:effectExtent b="0" l="0" r="0" t="0"/>
            <wp:docPr descr="图A.2 CIFAR-10上PBNN-CNN与基线的训练曲线" title="" id="18" name="Picture"/>
            <a:graphic>
              <a:graphicData uri="http://schemas.openxmlformats.org/drawingml/2006/picture">
                <pic:pic>
                  <pic:nvPicPr>
                    <pic:cNvPr descr="figs/AppendixA_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图A.2</w:t>
      </w:r>
      <w:r>
        <w:t xml:space="preserve"> </w:t>
      </w:r>
      <w:r>
        <w:rPr>
          <w:rFonts w:hint="eastAsia"/>
        </w:rPr>
        <w:t xml:space="preserve">CIFAR-10上PBNN-CNN与基线的训练曲线</w:t>
      </w:r>
    </w:p>
    <w:p>
      <w:pPr>
        <w:pStyle w:val="BodyText"/>
      </w:pPr>
      <w:r>
        <w:rPr>
          <w:rFonts w:hint="eastAsia"/>
          <w:b/>
          <w:bCs/>
        </w:rPr>
        <w:t xml:space="preserve">图A.2</w:t>
      </w:r>
      <w:r>
        <w:t xml:space="preserve"> </w:t>
      </w:r>
      <w:r>
        <w:rPr>
          <w:rFonts w:hint="eastAsia"/>
        </w:rPr>
        <w:t xml:space="preserve">CIFAR-10上PBNN-CNN、BNN-CNN与FP-CNN</w:t>
      </w:r>
      <w:r>
        <w:t xml:space="preserve"> (FP32 + INT8 QAT) </w:t>
      </w:r>
      <w:r>
        <w:rPr>
          <w:rFonts w:hint="eastAsia"/>
        </w:rPr>
        <w:t xml:space="preserve">共用六层卷积</w:t>
      </w:r>
      <w:r>
        <w:t xml:space="preserve"> + </w:t>
      </w:r>
      <w:r>
        <w:rPr>
          <w:rFonts w:hint="eastAsia"/>
        </w:rPr>
        <w:t xml:space="preserve">两层全连接</w:t>
      </w:r>
      <w:r>
        <w:t xml:space="preserve"> </w:t>
      </w:r>
      <w:r>
        <w:rPr>
          <w:rFonts w:hint="eastAsia"/>
        </w:rPr>
        <w:t xml:space="preserve">(首层全精度)</w:t>
      </w:r>
      <w:r>
        <w:t xml:space="preserve"> </w:t>
      </w:r>
      <w:r>
        <w:rPr>
          <w:rFonts w:hint="eastAsia"/>
        </w:rPr>
        <w:t xml:space="preserve">同拓扑、60轮余弦退火训练下的测试精度</w:t>
      </w:r>
      <w:r>
        <w:t xml:space="preserve"> </w:t>
      </w:r>
      <w:r>
        <w:rPr>
          <w:rFonts w:hint="eastAsia"/>
        </w:rPr>
        <w:t xml:space="preserve">(左)</w:t>
      </w:r>
      <w:r>
        <w:t xml:space="preserve"> </w:t>
      </w:r>
      <w:r>
        <w:rPr>
          <w:rFonts w:hint="eastAsia"/>
        </w:rPr>
        <w:t xml:space="preserve">与测试损失</w:t>
      </w:r>
      <w:r>
        <w:t xml:space="preserve"> </w:t>
      </w:r>
      <w:r>
        <w:rPr>
          <w:rFonts w:hint="eastAsia"/>
        </w:rPr>
        <w:t xml:space="preserve">(右)</w:t>
      </w:r>
      <w:r>
        <w:t xml:space="preserve"> </w:t>
      </w:r>
      <w:r>
        <w:rPr>
          <w:rFonts w:hint="eastAsia"/>
        </w:rPr>
        <w:t xml:space="preserve">演化。FP32/INT8在约20轮即收敛至92%量级，而二值架构</w:t>
      </w:r>
      <w:r>
        <w:t xml:space="preserve"> (PBNN-CNN 67.22%、BNN-CNN 66.01%) </w:t>
      </w:r>
      <w:r>
        <w:rPr>
          <w:rFonts w:hint="eastAsia"/>
        </w:rPr>
        <w:t xml:space="preserve">需依赖余弦退火的后半程缓慢爬升、至60轮仍未完全饱和，与FP相距约25个百分点，体现出二值容量在自然图像任务上的代价急剧放大，但两条二值曲线依旧几乎重合。</w:t>
      </w:r>
    </w:p>
    <w:p>
      <w:pPr>
        <w:pStyle w:val="BodyText"/>
      </w:pPr>
      <w:r>
        <w:rPr>
          <w:rFonts w:hint="eastAsia"/>
          <w:b/>
          <w:bCs/>
        </w:rPr>
        <w:t xml:space="preserve">表A.1</w:t>
      </w:r>
      <w:r>
        <w:t xml:space="preserve"> </w:t>
      </w:r>
      <w:r>
        <w:rPr>
          <w:rFonts w:hint="eastAsia"/>
        </w:rPr>
        <w:t xml:space="preserve">Fashion-MNIST与CIFAR-10上同拓扑PBNN-CNN、BNN-CNN与FP-CNN的最佳测试精度</w:t>
      </w:r>
      <w:r>
        <w:t xml:space="preserve"> </w:t>
      </w:r>
      <w:r>
        <w:rPr>
          <w:rFonts w:hint="eastAsia"/>
        </w:rPr>
        <w:t xml:space="preserve">(相对各自数据集的FP32基线)。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最佳测试精度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相对FP32差距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</w:pPr>
            <w:r>
              <w:t xml:space="preserve">FP-CNN FP32 </w:t>
            </w:r>
            <w:r>
              <w:rPr>
                <w:rFonts w:hint="eastAsia"/>
              </w:rPr>
              <w:t xml:space="preserve">(理想)</w:t>
            </w:r>
          </w:p>
        </w:tc>
        <w:tc>
          <w:tcPr/>
          <w:p>
            <w:pPr>
              <w:pStyle w:val="Compact"/>
            </w:pPr>
            <w:r>
              <w:t xml:space="preserve">93.58%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</w:pPr>
            <w:r>
              <w:t xml:space="preserve">FP-CNN INT8 (QAT)</w:t>
            </w:r>
          </w:p>
        </w:tc>
        <w:tc>
          <w:tcPr/>
          <w:p>
            <w:pPr>
              <w:pStyle w:val="Compact"/>
            </w:pPr>
            <w:r>
              <w:t xml:space="preserve">93.52%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0.06</m:t>
                </m:r>
              </m:oMath>
            </m:oMathPara>
          </w:p>
          <w:p>
            <w:pPr>
              <w:pStyle w:val="Compac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</w:pPr>
            <w:r>
              <w:t xml:space="preserve">PBNN-CNN </w:t>
            </w:r>
            <w:r>
              <w:rPr>
                <w:rFonts w:hint="eastAsia"/>
              </w:rPr>
              <w:t xml:space="preserve">(二值，sMTJ)</w:t>
            </w:r>
          </w:p>
        </w:tc>
        <w:tc>
          <w:tcPr/>
          <w:p>
            <w:pPr>
              <w:pStyle w:val="Compact"/>
            </w:pPr>
            <w:r>
              <w:t xml:space="preserve">88.11%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5.47</m:t>
                </m:r>
              </m:oMath>
            </m:oMathPara>
          </w:p>
          <w:p>
            <w:pPr>
              <w:pStyle w:val="Compac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Fashion-MNIST</w:t>
            </w:r>
          </w:p>
        </w:tc>
        <w:tc>
          <w:tcPr/>
          <w:p>
            <w:pPr>
              <w:pStyle w:val="Compact"/>
            </w:pPr>
            <w:r>
              <w:t xml:space="preserve">BNN-CNN </w:t>
            </w:r>
            <w:r>
              <w:rPr>
                <w:rFonts w:hint="eastAsia"/>
              </w:rPr>
              <w:t xml:space="preserve">(数字二值)</w:t>
            </w:r>
          </w:p>
        </w:tc>
        <w:tc>
          <w:tcPr/>
          <w:p>
            <w:pPr>
              <w:pStyle w:val="Compact"/>
            </w:pPr>
            <w:r>
              <w:t xml:space="preserve">87.60%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5.98</m:t>
                </m:r>
              </m:oMath>
            </m:oMathPara>
          </w:p>
          <w:p>
            <w:pPr>
              <w:pStyle w:val="Compac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FP-CNN INT8 (QAT)</w:t>
            </w:r>
          </w:p>
        </w:tc>
        <w:tc>
          <w:tcPr/>
          <w:p>
            <w:pPr>
              <w:pStyle w:val="Compact"/>
            </w:pPr>
            <w:r>
              <w:t xml:space="preserve">92.75%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+</m:t>
                </m:r>
                <m:r>
                  <m:t>0.34</m:t>
                </m:r>
              </m:oMath>
            </m:oMathPara>
          </w:p>
          <w:p>
            <w:pPr>
              <w:pStyle w:val="Compac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FP-CNN FP32 </w:t>
            </w:r>
            <w:r>
              <w:rPr>
                <w:rFonts w:hint="eastAsia"/>
              </w:rPr>
              <w:t xml:space="preserve">(理想)</w:t>
            </w:r>
          </w:p>
        </w:tc>
        <w:tc>
          <w:tcPr/>
          <w:p>
            <w:pPr>
              <w:pStyle w:val="Compact"/>
            </w:pPr>
            <w:r>
              <w:t xml:space="preserve">92.41%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PBNN-CNN </w:t>
            </w:r>
            <w:r>
              <w:rPr>
                <w:rFonts w:hint="eastAsia"/>
              </w:rPr>
              <w:t xml:space="preserve">(二值，sMTJ)</w:t>
            </w:r>
          </w:p>
        </w:tc>
        <w:tc>
          <w:tcPr/>
          <w:p>
            <w:pPr>
              <w:pStyle w:val="Compact"/>
            </w:pPr>
            <w:r>
              <w:t xml:space="preserve">67.22%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25.19</m:t>
                </m:r>
              </m:oMath>
            </m:oMathPara>
          </w:p>
          <w:p>
            <w:pPr>
              <w:pStyle w:val="Compact"/>
            </w:pPr>
            <w:r>
              <w:t xml:space="preserve">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BNN-CNN </w:t>
            </w:r>
            <w:r>
              <w:rPr>
                <w:rFonts w:hint="eastAsia"/>
              </w:rPr>
              <w:t xml:space="preserve">(数字二值)</w:t>
            </w:r>
          </w:p>
        </w:tc>
        <w:tc>
          <w:tcPr/>
          <w:p>
            <w:pPr>
              <w:pStyle w:val="Compact"/>
            </w:pPr>
            <w:r>
              <w:t xml:space="preserve">66.01%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26.40</m:t>
                </m:r>
              </m:oMath>
            </m:oMathPara>
          </w:p>
          <w:p>
            <w:pPr>
              <w:pStyle w:val="Compact"/>
            </w:pPr>
            <w:r>
              <w:t xml:space="preserve">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表A.1与正文表4.2、表4.3合起来给出一条清晰的二值容量代价随任务难度单调放大的曲线：MLP-MNIST下PBNN与FP32相距1.53pp、CNN-Fashion-MNIST扩大到5.47pp、CNN-CIFAR-10进一步扩大到25.19pp。这一梯度与正文4.5节末段UCI实验</w:t>
      </w:r>
      <w:r>
        <w:t xml:space="preserve"> </w:t>
      </w:r>
      <w:r>
        <w:rPr>
          <w:rFonts w:hint="eastAsia"/>
        </w:rPr>
        <w:t xml:space="preserve">(差距随样本规模、类别数与判别难度变化)</w:t>
      </w:r>
      <w:r>
        <w:t xml:space="preserve"> </w:t>
      </w:r>
      <w:r>
        <w:rPr>
          <w:rFonts w:hint="eastAsia"/>
        </w:rPr>
        <w:t xml:space="preserve">的观察一脉相承，说明二值权重的有限容量在简单任务上被网络冗余吸收、在自然图像这类高内蕴维度任务上才真正成为瓶颈。除此之外有两点跨数据集一致的结论：其一，FP32与INT8</w:t>
      </w:r>
      <w:r>
        <w:t xml:space="preserve"> </w:t>
      </w:r>
      <w:r>
        <w:rPr>
          <w:rFonts w:hint="eastAsia"/>
        </w:rPr>
        <w:t xml:space="preserve">QAT在两个CNN任务上的差距都在0.1—0.3pp以内</w:t>
      </w:r>
      <w:r>
        <w:t xml:space="preserve"> </w:t>
      </w:r>
      <w:r>
        <w:rPr>
          <w:rFonts w:hint="eastAsia"/>
        </w:rPr>
        <w:t xml:space="preserve">(CIFAR-10上INT8甚至略胜)，延续了低位宽量化不构成主要瓶颈的规律；其二，BNN-CNN与PBNN-CNN的差距在两个数据集上都不超过1.3个百分点且PBNN略占优</w:t>
      </w:r>
      <w:r>
        <w:t xml:space="preserve"> (Fashion-MNIST 88.11% vs 87.60%、CIFAR-10 67.22% vs </w:t>
      </w:r>
      <w:r>
        <w:rPr>
          <w:rFonts w:hint="eastAsia"/>
        </w:rPr>
        <w:t xml:space="preserve">66.01%)，再次确认sMTJ随机性带来的训练精度损失对卷积拓扑同样微小，PBNN接受Bernoulli采样并未额外付出可观代价</w:t>
      </w:r>
      <w:r>
        <w:t xml:space="preserve"> </w:t>
      </w:r>
      <w:r>
        <w:rPr>
          <w:rFonts w:hint="eastAsia"/>
        </w:rPr>
        <w:t xml:space="preserve">(与正文表4.2在MLP-MNIST上的同一结论吻合)。</w:t>
      </w:r>
    </w:p>
    <w:bookmarkEnd w:id="20"/>
    <w:bookmarkStart w:id="27" w:name="a.2-时域展开在卷积拓扑上的采样-精度曲线"/>
    <w:p>
      <w:pPr>
        <w:pStyle w:val="Heading2"/>
      </w:pPr>
      <w:r>
        <w:t xml:space="preserve">A.2 </w:t>
      </w:r>
      <w:r>
        <w:rPr>
          <w:rFonts w:hint="eastAsia"/>
        </w:rPr>
        <w:t xml:space="preserve">时域展开在卷积拓扑上的采样-精度曲线</w:t>
      </w:r>
    </w:p>
    <w:p>
      <w:pPr>
        <w:pStyle w:val="FirstParagraph"/>
      </w:pPr>
      <w:r>
        <w:rPr>
          <w:rFonts w:hint="eastAsia"/>
        </w:rPr>
        <w:t xml:space="preserve">把两数据集训练好的PBNN-CNN分别在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64</m:t>
          </m:r>
        </m:oMath>
      </m:oMathPara>
    </w:p>
    <w:p>
      <w:pPr>
        <w:pStyle w:val="FirstParagraph"/>
      </w:pPr>
      <w:r>
        <w:rPr>
          <w:rFonts w:hint="eastAsia"/>
        </w:rPr>
        <w:t xml:space="preserve">下做全栈推理评估，精度-T曲线如图A.3、图A.4所示，定量数据汇总于表A.2。两条曲线都复现了正文4.4节MLP-MNIST的对数饱和形态，即精度随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快速上升后进入平台，确认时域展开的收敛特性由PBNN对Bernoulli样本均值的统计估计单独决定，与拓扑及数据集解耦。但两数据集在两个量化指标上呈现难度依赖的差异。其一，HARDWARE_AWARE训练精度与FULL_STACK渐近精度的吻合度随难度下降：Fashion-MNIST上FULL_STACK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t xml:space="preserve">(88.98%) </w:t>
      </w:r>
      <w:r>
        <w:rPr>
          <w:rFonts w:hint="eastAsia"/>
        </w:rPr>
        <w:t xml:space="preserve">甚至略胜HARDWARE_AWARE</w:t>
      </w:r>
      <w:r>
        <w:t xml:space="preserve"> </w:t>
      </w:r>
      <w:r>
        <w:rPr>
          <w:rFonts w:hint="eastAsia"/>
        </w:rPr>
        <w:t xml:space="preserve">(88.11%)，二者语义一致；CIFAR-10上FULL_STACK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t xml:space="preserve">(62.14%) </w:t>
      </w:r>
      <w:r>
        <w:rPr>
          <w:rFonts w:hint="eastAsia"/>
        </w:rPr>
        <w:t xml:space="preserve">较HARDWARE_AWARE</w:t>
      </w:r>
      <w:r>
        <w:t xml:space="preserve"> (67.22%) </w:t>
      </w:r>
      <w:r>
        <w:rPr>
          <w:rFonts w:hint="eastAsia"/>
        </w:rPr>
        <w:t xml:space="preserve">低约5个百分点，这一残差源于难任务下学到的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置信度较低、放大100倍后Bernoulli采样与解析均值之间的截断误差更显著。其二，逼近渐近上限所需的采样次数随难度上升：Fashion-MNIST在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即达渐近值的0.3个百分点内，而CIFAR-10在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仅53.35%、需到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32</m:t>
          </m:r>
        </m:oMath>
      </m:oMathPara>
    </w:p>
    <w:p>
      <w:pPr>
        <w:pStyle w:val="FirstParagraph"/>
      </w:pPr>
      <w:r>
        <w:rPr>
          <w:rFonts w:hint="eastAsia"/>
        </w:rPr>
        <w:t xml:space="preserve">以上才进入62%平台</w:t>
      </w:r>
      <w:r>
        <w:t xml:space="preserve"> (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与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rPr>
          <w:rFonts w:hint="eastAsia"/>
        </w:rPr>
        <w:t xml:space="preserve">相差约9个百分点)。因此正文将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作为通用部署点的结论对Fashion-MNIST成立，但对CIFAR-10这类难任务应上调至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</w:pP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</m:oMath>
      </m:oMathPara>
    </w:p>
    <w:p>
      <w:pPr>
        <w:pStyle w:val="FirstParagraph"/>
      </w:pPr>
      <w:r>
        <w:rPr>
          <w:rFonts w:hint="eastAsia"/>
        </w:rPr>
        <w:t xml:space="preserve">以换取2—3个百分点精度；这恰好量化了时域展开作为精度-能耗调节旋钮的价值，即允许在部署期按任务难度单独调节采样深度，而无需重新训练。</w:t>
      </w:r>
    </w:p>
    <w:p>
      <w:pPr>
        <w:pStyle w:val="CaptionedFigure"/>
      </w:pPr>
      <w:r>
        <w:drawing>
          <wp:inline>
            <wp:extent cx="5334000" cy="2172465"/>
            <wp:effectExtent b="0" l="0" r="0" t="0"/>
            <wp:docPr descr="图A.3 Fashion-MNIST PBNN-CNN在全栈T扫描下的精度-T与精度-能耗曲线" title="" id="22" name="Picture"/>
            <a:graphic>
              <a:graphicData uri="http://schemas.openxmlformats.org/drawingml/2006/picture">
                <pic:pic>
                  <pic:nvPicPr>
                    <pic:cNvPr descr="figs/AppendixA_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图A.3</w:t>
      </w:r>
      <w:r>
        <w:t xml:space="preserve"> Fashion-MNIST </w:t>
      </w:r>
      <w:r>
        <w:rPr>
          <w:rFonts w:hint="eastAsia"/>
        </w:rPr>
        <w:t xml:space="preserve">PBNN-CNN在全栈T扫描下的精度-T与精度-能耗曲线</w:t>
      </w:r>
    </w:p>
    <w:p>
      <w:pPr>
        <w:pStyle w:val="BodyText"/>
      </w:pPr>
      <w:r>
        <w:rPr>
          <w:rFonts w:hint="eastAsia"/>
          <w:b/>
          <w:bCs/>
        </w:rPr>
        <w:t xml:space="preserve">图A.3</w:t>
      </w:r>
      <w:r>
        <w:t xml:space="preserve"> </w:t>
      </w:r>
      <w:r>
        <w:t xml:space="preserve">Fashion-MNIST </w:t>
      </w:r>
      <w:r>
        <w:rPr>
          <w:rFonts w:hint="eastAsia"/>
        </w:rPr>
        <w:t xml:space="preserve">PBNN-CNN在全栈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扫描下的精度-T曲线</w:t>
      </w:r>
      <w:r>
        <w:t xml:space="preserve"> </w:t>
      </w:r>
      <w:r>
        <w:rPr>
          <w:rFonts w:hint="eastAsia"/>
        </w:rPr>
        <w:t xml:space="preserve">(左)</w:t>
      </w:r>
      <w:r>
        <w:t xml:space="preserve"> </w:t>
      </w:r>
      <w:r>
        <w:rPr>
          <w:rFonts w:hint="eastAsia"/>
        </w:rPr>
        <w:t xml:space="preserve">与精度-能耗曲线</w:t>
      </w:r>
      <w:r>
        <w:t xml:space="preserve"> </w:t>
      </w:r>
      <w:r>
        <w:rPr>
          <w:rFonts w:hint="eastAsia"/>
        </w:rPr>
        <w:t xml:space="preserve">(右)，对数横轴。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≤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精度随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快速上升、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≥</m:t>
          </m:r>
          <m:r>
            <m:t>8</m:t>
          </m:r>
        </m:oMath>
      </m:oMathPara>
    </w:p>
    <w:p>
      <w:pPr>
        <w:pStyle w:val="FirstParagraph"/>
      </w:pPr>
      <w:r>
        <w:rPr>
          <w:rFonts w:hint="eastAsia"/>
        </w:rPr>
        <w:t xml:space="preserve">进入88.6–89.2%平台，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处88.84%与峰值89.18%相差0.34个百分点；FULL_STACK评估精度略胜HARDWARE_AWARE训练时的88.11%，支持正文4.3节三档共用同一检查点的设计选择。</w:t>
      </w:r>
    </w:p>
    <w:p>
      <w:pPr>
        <w:pStyle w:val="CaptionedFigure"/>
      </w:pPr>
      <w:r>
        <w:drawing>
          <wp:inline>
            <wp:extent cx="5334000" cy="2172465"/>
            <wp:effectExtent b="0" l="0" r="0" t="0"/>
            <wp:docPr descr="图A.4 CIFAR-10 PBNN-CNN在全栈T扫描下的精度-T与精度-能耗曲线" title="" id="25" name="Picture"/>
            <a:graphic>
              <a:graphicData uri="http://schemas.openxmlformats.org/drawingml/2006/picture">
                <pic:pic>
                  <pic:nvPicPr>
                    <pic:cNvPr descr="figs/AppendixA_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图A.4</w:t>
      </w:r>
      <w:r>
        <w:t xml:space="preserve"> CIFAR-10 </w:t>
      </w:r>
      <w:r>
        <w:rPr>
          <w:rFonts w:hint="eastAsia"/>
        </w:rPr>
        <w:t xml:space="preserve">PBNN-CNN在全栈T扫描下的精度-T与精度-能耗曲线</w:t>
      </w:r>
    </w:p>
    <w:p>
      <w:pPr>
        <w:pStyle w:val="BodyText"/>
      </w:pPr>
      <w:r>
        <w:rPr>
          <w:rFonts w:hint="eastAsia"/>
          <w:b/>
          <w:bCs/>
        </w:rPr>
        <w:t xml:space="preserve">图A.4</w:t>
      </w:r>
      <w:r>
        <w:t xml:space="preserve"> </w:t>
      </w:r>
      <w:r>
        <w:t xml:space="preserve">CIFAR-10 </w:t>
      </w:r>
      <w:r>
        <w:rPr>
          <w:rFonts w:hint="eastAsia"/>
        </w:rPr>
        <w:t xml:space="preserve">PBNN-CNN在全栈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扫描下的精度-T曲线</w:t>
      </w:r>
      <w:r>
        <w:t xml:space="preserve"> </w:t>
      </w:r>
      <w:r>
        <w:rPr>
          <w:rFonts w:hint="eastAsia"/>
        </w:rPr>
        <w:t xml:space="preserve">(左)</w:t>
      </w:r>
      <w:r>
        <w:t xml:space="preserve"> </w:t>
      </w:r>
      <w:r>
        <w:rPr>
          <w:rFonts w:hint="eastAsia"/>
        </w:rPr>
        <w:t xml:space="preserve">与精度-能耗曲线</w:t>
      </w:r>
      <w:r>
        <w:t xml:space="preserve"> </w:t>
      </w:r>
      <w:r>
        <w:rPr>
          <w:rFonts w:hint="eastAsia"/>
        </w:rPr>
        <w:t xml:space="preserve">(右)，对数横轴。曲线比图A.3陡峭得多：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仅34.19%、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升至53.35%、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rPr>
          <w:rFonts w:hint="eastAsia"/>
        </w:rPr>
        <w:t xml:space="preserve">达62.14%仍在缓慢上升，反映难任务下需要更深的采样才能压低Bernoulli估计方差；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64</m:t>
          </m:r>
        </m:oMath>
      </m:oMathPara>
    </w:p>
    <w:p>
      <w:pPr>
        <w:pStyle w:val="FirstParagraph"/>
      </w:pPr>
      <w:r>
        <w:rPr>
          <w:rFonts w:hint="eastAsia"/>
        </w:rPr>
        <w:t xml:space="preserve">渐近值低于HARDWARE_AWARE训练精度67.22%约5个百分点。</w:t>
      </w:r>
    </w:p>
    <w:p>
      <w:pPr>
        <w:pStyle w:val="BodyText"/>
      </w:pPr>
      <w:r>
        <w:rPr>
          <w:rFonts w:hint="eastAsia"/>
          <w:b/>
          <w:bCs/>
        </w:rPr>
        <w:t xml:space="preserve">表A.2</w:t>
      </w:r>
      <w:r>
        <w:t xml:space="preserve"> </w:t>
      </w:r>
      <w:r>
        <w:rPr>
          <w:rFonts w:hint="eastAsia"/>
        </w:rPr>
        <w:t xml:space="preserve">Fashion-MNIST与CIFAR-10的PBNN-CNN在不同采样次数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下的全栈推理测试精度</w:t>
      </w:r>
      <w:r>
        <w:t xml:space="preserve"> </w:t>
      </w:r>
      <w:r>
        <w:rPr>
          <w:rFonts w:hint="eastAsia"/>
        </w:rPr>
        <w:t xml:space="preserve">(单次推理能耗随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线性增长，绝对值见各自图A.3/A.4右栏)。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t>T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Fashion-MNIST </w:t>
            </w: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t xml:space="preserve">CIFAR-10 </w:t>
            </w:r>
            <w:r>
              <w:rPr>
                <w:rFonts w:hint="eastAsia"/>
              </w:rPr>
              <w:t xml:space="preserve">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84.05%</w:t>
            </w:r>
          </w:p>
        </w:tc>
        <w:tc>
          <w:tcPr/>
          <w:p>
            <w:pPr>
              <w:pStyle w:val="Compact"/>
            </w:pPr>
            <w:r>
              <w:t xml:space="preserve">34.19%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86.30%</w:t>
            </w:r>
          </w:p>
        </w:tc>
        <w:tc>
          <w:tcPr/>
          <w:p>
            <w:pPr>
              <w:pStyle w:val="Compact"/>
            </w:pPr>
            <w:r>
              <w:t xml:space="preserve">45.38%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88.84%</w:t>
            </w:r>
          </w:p>
        </w:tc>
        <w:tc>
          <w:tcPr/>
          <w:p>
            <w:pPr>
              <w:pStyle w:val="Compact"/>
            </w:pPr>
            <w:r>
              <w:t xml:space="preserve">53.35%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88.66%</w:t>
            </w:r>
          </w:p>
        </w:tc>
        <w:tc>
          <w:tcPr/>
          <w:p>
            <w:pPr>
              <w:pStyle w:val="Compact"/>
            </w:pPr>
            <w:r>
              <w:t xml:space="preserve">58.49%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89.02%</w:t>
            </w:r>
          </w:p>
        </w:tc>
        <w:tc>
          <w:tcPr/>
          <w:p>
            <w:pPr>
              <w:pStyle w:val="Compact"/>
            </w:pPr>
            <w:r>
              <w:t xml:space="preserve">59.85%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89.18%</w:t>
            </w:r>
          </w:p>
        </w:tc>
        <w:tc>
          <w:tcPr/>
          <w:p>
            <w:pPr>
              <w:pStyle w:val="Compact"/>
            </w:pPr>
            <w:r>
              <w:t xml:space="preserve">61.42%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88.98%</w:t>
            </w:r>
          </w:p>
        </w:tc>
        <w:tc>
          <w:tcPr/>
          <w:p>
            <w:pPr>
              <w:pStyle w:val="Compact"/>
            </w:pPr>
            <w:r>
              <w:t xml:space="preserve">62.14%</w:t>
            </w:r>
          </w:p>
        </w:tc>
      </w:tr>
    </w:tbl>
    <w:bookmarkEnd w:id="27"/>
    <w:bookmarkStart w:id="28" w:name="a.3-小结"/>
    <w:p>
      <w:pPr>
        <w:pStyle w:val="Heading2"/>
      </w:pPr>
      <w:r>
        <w:t xml:space="preserve">A.3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卷积拓扑扩展实验定性地确认了正文两个核心结论对一般PBNN-CNN设计同样成立：(1)</w:t>
      </w:r>
      <w:r>
        <w:t xml:space="preserve"> </w:t>
      </w:r>
      <w:r>
        <w:rPr>
          <w:rFonts w:hint="eastAsia"/>
        </w:rPr>
        <w:t xml:space="preserve">sMTJ随机采样不引入可观的额外训练精度代价</w:t>
      </w:r>
      <w:r>
        <w:t xml:space="preserve"> </w:t>
      </w:r>
      <w:r>
        <w:rPr>
          <w:rFonts w:hint="eastAsia"/>
        </w:rPr>
        <w:t xml:space="preserve">(PBNN-CNN与确定性BNN-CNN在两个数据集上差距均小于1.3个百分点)；(2)</w:t>
      </w:r>
      <w:r>
        <w:t xml:space="preserve"> </w:t>
      </w:r>
      <w:r>
        <w:rPr>
          <w:rFonts w:hint="eastAsia"/>
        </w:rPr>
        <w:t xml:space="preserve">时域展开提供按需可调的精度-能耗折中。同时，实验量化了两点难度依赖的工程提示：二值架构相对全精度的容量差距随任务难度从MNIST的约1.5pp扩大到CIFAR-10的约25pp，而在难任务上达到FULL_STACK渐近精度所需的采样次数也相应上升</w:t>
      </w:r>
      <w:r>
        <w:t xml:space="preserve"> </w:t>
      </w:r>
      <w:r>
        <w:rPr>
          <w:rFonts w:hint="eastAsia"/>
        </w:rPr>
        <w:t xml:space="preserve">(CIFAR-10建议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16</m:t>
          </m:r>
        </m:oMath>
      </m:oMathPara>
    </w:p>
    <w:p>
      <w:pPr>
        <w:pStyle w:val="FirstParagraph"/>
      </w:pP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32</m:t>
          </m:r>
        </m:oMath>
      </m:oMathPara>
    </w:p>
    <w:p>
      <w:pPr>
        <w:pStyle w:val="FirstParagraph"/>
      </w:pPr>
      <w:r>
        <w:rPr>
          <w:rFonts w:hint="eastAsia"/>
        </w:rPr>
        <w:t xml:space="preserve">而非MNIST的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/>
        </w:rPr>
        <w:t xml:space="preserve">)。这些结论与正文基于MNIST-MLP的分析互为补充，未改变正文的主线判断。</w:t>
      </w:r>
    </w:p>
    <w:bookmarkEnd w:id="28"/>
    <w:bookmarkStart w:id="29" w:name="参考文献"/>
    <w:p>
      <w:pPr>
        <w:pStyle w:val="Heading2"/>
      </w:pPr>
      <w:r>
        <w:rPr>
          <w:rFonts w:hint="eastAsia"/>
        </w:rPr>
        <w:t xml:space="preserve">参考文献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Xiao H, Rasul K, Vollgraf R. Fashion-MNIST: a novel image dataset for benchmarking machine learning algorithms.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, 2017.</w:t>
      </w:r>
      <w:r>
        <w:t xml:space="preserve"> </w:t>
      </w:r>
      <w:hyperlink r:id="rId10">
        <w:r>
          <w:rPr>
            <w:rStyle w:val="Hyperlink"/>
          </w:rPr>
          <w:t xml:space="preserve">arXiv:1708.07747</w:t>
        </w:r>
      </w:hyperlink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Krizhevsky A. Learning multiple layers of features from tiny images.</w:t>
      </w:r>
      <w:r>
        <w:t xml:space="preserve"> </w:t>
      </w:r>
      <w:r>
        <w:rPr>
          <w:i/>
          <w:iCs/>
        </w:rPr>
        <w:t xml:space="preserve">Technical Report</w:t>
      </w:r>
      <w:r>
        <w:t xml:space="preserve">, University of Toronto, 2009.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Courbariaux M, Hubara I, Soudry D, El-Yaniv R, Bengio Y. Binarized neural networks: training deep neural networks with weights and activations constrained to +1 or -1.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, 2016.</w:t>
      </w:r>
      <w:r>
        <w:t xml:space="preserve"> </w:t>
      </w:r>
      <w:hyperlink r:id="rId13">
        <w:r>
          <w:rPr>
            <w:rStyle w:val="Hyperlink"/>
          </w:rPr>
          <w:t xml:space="preserve">arXiv:1602.02830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13" Target="https://arxiv.org/abs/1602.02830" TargetMode="External" /><Relationship Type="http://schemas.openxmlformats.org/officeDocument/2006/relationships/hyperlink" Id="rId10" Target="https://arxiv.org/abs/1708.0774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rxiv.org/abs/1602.02830" TargetMode="External" /><Relationship Type="http://schemas.openxmlformats.org/officeDocument/2006/relationships/hyperlink" Id="rId10" Target="https://arxiv.org/abs/1708.0774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2026-05-27T06:01:26Z</dcterms:created>
  <dcterms:modified xsi:type="dcterms:W3CDTF">2026-05-27T06:01:26Z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