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media/rId40.png" ContentType="image/png"/>
  <Override PartName="/word/media/rId43.png" ContentType="image/png"/>
  <Override PartName="/word/media/rId47.png" ContentType="image/png"/>
  <Override PartName="/word/media/rId51.png" ContentType="image/png"/>
  <Override PartName="/word/media/rId58.png" ContentType="image/png"/>
  <Override PartName="/word/media/rId61.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提供的器件模型与同一仿真后端，差别仅在于上层如何使用器件的随机性。伊辛求解以全阵列异步Gibbs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即为一个具有可调时间常数的有状态系统，因而能够承担这一角色。本章在验证sMTJ器件能否以可机理归因的方式承担这一范式的基础上，集中回答两个面向工程的问题：该用法的硬件能效相对数字储备池居于何种水平，以及面向RC优化的sMTJ应落在怎样的器件参数区间。</w:t>
      </w:r>
    </w:p>
    <w:bookmarkStart w:id="12" w:name="smtj-rc的硬件工作原理"/>
    <w:p>
      <w:pPr>
        <w:pStyle w:val="Heading2"/>
      </w:pPr>
      <w:r>
        <w:t xml:space="preserve">5.1 </w:t>
      </w:r>
      <w:r>
        <w:rPr>
          <w:rFonts w:hint="eastAsia"/>
        </w:rPr>
        <w:t xml:space="preserve">sMTJ-RC的硬件工作原理</w:t>
      </w:r>
    </w:p>
    <w:p>
      <w:pPr>
        <w:pStyle w:val="FirstParagraph"/>
      </w:pPr>
      <w:r>
        <w:rPr>
          <w:rFonts w:hint="eastAsia"/>
        </w:rPr>
        <w:t xml:space="preserve">sMTJ作为储备池节点的物理图景决定了后续仿真器扩展的边界。储备池计算的三个要件，即高维投影、非线性与衰减记忆，在超顺磁sMTJ上分别由器件群体、热激活翻转的电压依赖性与磁矩弛豫时间承担。图5.1给出整体原理。</w:t>
      </w:r>
    </w:p>
    <w:p>
      <w:pPr>
        <w:pStyle w:val="BodyText"/>
      </w:pPr>
      <w:r>
        <w:drawing>
          <wp:inline>
            <wp:extent cx="5334000" cy="3685962"/>
            <wp:effectExtent b="0" l="0" r="0" t="0"/>
            <wp:docPr descr="" title="" id="10" name="Picture"/>
            <a:graphic>
              <a:graphicData uri="http://schemas.openxmlformats.org/drawingml/2006/picture">
                <pic:pic>
                  <pic:nvPicPr>
                    <pic:cNvPr descr="figs/Chapter05_local_01.png" id="11" name="Picture"/>
                    <pic:cNvPicPr>
                      <a:picLocks noChangeArrowheads="1" noChangeAspect="1"/>
                    </pic:cNvPicPr>
                  </pic:nvPicPr>
                  <pic:blipFill>
                    <a:blip r:embed="rId9"/>
                    <a:stretch>
                      <a:fillRect/>
                    </a:stretch>
                  </pic:blipFill>
                  <pic:spPr bwMode="auto">
                    <a:xfrm>
                      <a:off x="0" y="0"/>
                      <a:ext cx="5334000" cy="3685962"/>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。弛豫时间给出衰减记忆的时间常数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既有储备池工作与本章定位"/>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(1.2.5节)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出发作了概述，本节在此基础上聚焦与超顺磁sMTJ-RC直接相关的工作，对相关实现作一次梳理，可分为四类，各自相对超顺磁sMTJ-RC并做端到端硬件评估这一目标存在缺口。第一类是自旋力矩纳米振荡器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，它们在各自介质内已较为成熟，但器件物理与能耗模型均与本工作不通用。第四类是RC理论本身，回声状态网络与液体状态机奠定了固定随机储备池加训练读出的范式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采用线性记忆容量与正交化的信息处理容量（Legendre基，度量细节见5.5节）。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6" w:name="仿真器扩展与原型验证"/>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即可保持数值稳定。该模块以NumPy实现，支持逐器件的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794975"/>
            <wp:effectExtent b="0" l="0" r="0" t="0"/>
            <wp:docPr descr="" title="" id="34" name="Picture"/>
            <a:graphic>
              <a:graphicData uri="http://schemas.openxmlformats.org/drawingml/2006/picture">
                <pic:pic>
                  <pic:nvPicPr>
                    <pic:cNvPr descr="figs/Chapter05_local_02.png" id="35" name="Picture"/>
                    <pic:cNvPicPr>
                      <a:picLocks noChangeArrowheads="1" noChangeAspect="1"/>
                    </pic:cNvPicPr>
                  </pic:nvPicPr>
                  <pic:blipFill>
                    <a:blip r:embed="rId33"/>
                    <a:stretch>
                      <a:fillRect/>
                    </a:stretch>
                  </pic:blipFill>
                  <pic:spPr bwMode="auto">
                    <a:xfrm>
                      <a:off x="0" y="0"/>
                      <a:ext cx="5334000" cy="2794975"/>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6"/>
    <w:bookmarkStart w:id="46" w:name="面向rc的器件优化与变异分析"/>
    <w:p>
      <w:pPr>
        <w:pStyle w:val="Heading2"/>
      </w:pPr>
      <w:r>
        <w:t xml:space="preserve">5.4 </w:t>
      </w:r>
      <w:r>
        <w:rPr>
          <w:rFonts w:hint="eastAsia"/>
        </w:rPr>
        <w:t xml:space="preserve">面向RC的器件优化与变异分析</w:t>
      </w:r>
    </w:p>
    <w:p>
      <w:pPr>
        <w:pStyle w:val="FirstParagraph"/>
      </w:pPr>
      <w:r>
        <w:rPr>
          <w:rFonts w:hint="eastAsia"/>
        </w:rPr>
        <w:t xml:space="preserve">面向RC的器件优化构成本章相对既有自旋电子RC工作的主要增量。由于非递归储备池节点的记忆即其弛豫时间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是首要器件参数；以下扫描全部在均值场模式下进行，使结论归因于器件物理而非散粒噪声。</w:t>
      </w:r>
    </w:p>
    <w:p>
      <w:pPr>
        <w:pStyle w:val="BodyText"/>
      </w:pPr>
      <w:r>
        <w:drawing>
          <wp:inline>
            <wp:extent cx="5334000" cy="3567562"/>
            <wp:effectExtent b="0" l="0" r="0" t="0"/>
            <wp:docPr descr="" title="" id="38" name="Picture"/>
            <a:graphic>
              <a:graphicData uri="http://schemas.openxmlformats.org/drawingml/2006/picture">
                <pic:pic>
                  <pic:nvPicPr>
                    <pic:cNvPr descr="figs/Chapter05_local_03.png" id="39" name="Picture"/>
                    <pic:cNvPicPr>
                      <a:picLocks noChangeArrowheads="1" noChangeAspect="1"/>
                    </pic:cNvPicPr>
                  </pic:nvPicPr>
                  <pic:blipFill>
                    <a:blip r:embed="rId37"/>
                    <a:stretch>
                      <a:fillRect/>
                    </a:stretch>
                  </pic:blipFill>
                  <pic:spPr bwMode="auto">
                    <a:xfrm>
                      <a:off x="0" y="0"/>
                      <a:ext cx="5334000" cy="356756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两项结论可直接用于器件设计。第一项是势垒匹配。在固定任务步长下，记忆容量随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；面向RC优化的sMTJ因此应比面向PBNN写操作优化的器件势垒更低，更接近超顺磁临界稳定区。第二项是时间尺度匹配：最优弛豫时间随任务步长近似线性增长，约为输入采样周期的二至三倍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589401"/>
            <wp:effectExtent b="0" l="0" r="0" t="0"/>
            <wp:docPr descr="" title="" id="41" name="Picture"/>
            <a:graphic>
              <a:graphicData uri="http://schemas.openxmlformats.org/drawingml/2006/picture">
                <pic:pic>
                  <pic:nvPicPr>
                    <pic:cNvPr descr="figs/Chapter05_local_04.png" id="42" name="Picture"/>
                    <pic:cNvPicPr>
                      <a:picLocks noChangeArrowheads="1" noChangeAspect="1"/>
                    </pic:cNvPicPr>
                  </pic:nvPicPr>
                  <pic:blipFill>
                    <a:blip r:embed="rId40"/>
                    <a:stretch>
                      <a:fillRect/>
                    </a:stretch>
                  </pic:blipFill>
                  <pic:spPr bwMode="auto">
                    <a:xfrm>
                      <a:off x="0" y="0"/>
                      <a:ext cx="5334000" cy="3589401"/>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181</m:t>
        </m:r>
        <m:r>
          <m:t> </m:t>
        </m:r>
        <m:r>
          <m:rPr>
            <m:sty m:val="p"/>
          </m:rPr>
          <m:t>n</m:t>
        </m:r>
        <m:r>
          <m:rPr>
            <m:sty m:val="p"/>
          </m:rPr>
          <m:t>s</m:t>
        </m:r>
      </m:oMath>
      <w:r>
        <w:rPr>
          <w:rFonts w:hint="eastAsia"/>
        </w:rPr>
        <w:t xml:space="preserve">降至约</w:t>
      </w:r>
      <m:oMath>
        <m:r>
          <m:t>18</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K间漂移达2.33，而当储备池更新步长随温度按匹配关系调整后，漂移压缩至0.17。这给出一个简单的器件操作配方：无需改变器件，只需令系统时钟跟随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，即可在宽温区保持接近最优的性能。该结论也呼应第二章的器件设计，若目标工作温区已知，可据匹配关系反推应制造的势垒高度。</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561970"/>
            <wp:effectExtent b="0" l="0" r="0" t="0"/>
            <wp:docPr descr="" title="" id="44" name="Picture"/>
            <a:graphic>
              <a:graphicData uri="http://schemas.openxmlformats.org/drawingml/2006/picture">
                <pic:pic>
                  <pic:nvPicPr>
                    <pic:cNvPr descr="figs/Chapter05_local_05.png" id="45" name="Picture"/>
                    <pic:cNvPicPr>
                      <a:picLocks noChangeArrowheads="1" noChangeAspect="1"/>
                    </pic:cNvPicPr>
                  </pic:nvPicPr>
                  <pic:blipFill>
                    <a:blip r:embed="rId43"/>
                    <a:stretch>
                      <a:fillRect/>
                    </a:stretch>
                  </pic:blipFill>
                  <pic:spPr bwMode="auto">
                    <a:xfrm>
                      <a:off x="0" y="0"/>
                      <a:ext cx="5334000" cy="3561970"/>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在较大范围内对</w:t>
      </w:r>
      <m:oMath>
        <m:sSub>
          <m:e>
            <m:r>
              <m:t>V</m:t>
            </m:r>
          </m:e>
          <m:sub>
            <m:r>
              <m:t>c</m:t>
            </m:r>
            <m:r>
              <m:t>0</m:t>
            </m:r>
          </m:sub>
        </m:sSub>
      </m:oMath>
      <w:r>
        <w:rPr>
          <w:rFonts w:hint="eastAsia"/>
        </w:rPr>
        <w:t xml:space="preserve">变异不敏感，直至器件失稳；(c)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bookmarkEnd w:id="46"/>
    <w:bookmarkStart w:id="64" w:name="基准广度与硬件能效"/>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3792952"/>
            <wp:effectExtent b="0" l="0" r="0" t="0"/>
            <wp:docPr descr="" title="" id="48" name="Picture"/>
            <a:graphic>
              <a:graphicData uri="http://schemas.openxmlformats.org/drawingml/2006/picture">
                <pic:pic>
                  <pic:nvPicPr>
                    <pic:cNvPr descr="figs/Chapter05_local_06.png" id="49" name="Picture"/>
                    <pic:cNvPicPr>
                      <a:picLocks noChangeArrowheads="1" noChangeAspect="1"/>
                    </pic:cNvPicPr>
                  </pic:nvPicPr>
                  <pic:blipFill>
                    <a:blip r:embed="rId47"/>
                    <a:stretch>
                      <a:fillRect/>
                    </a:stretch>
                  </pic:blipFill>
                  <pic:spPr bwMode="auto">
                    <a:xfrm>
                      <a:off x="0" y="0"/>
                      <a:ext cx="5334000" cy="3792952"/>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信息处理容量按多项式阶分解</w:t>
      </w:r>
      <w:r>
        <w:t xml:space="preserve"> </w:t>
      </w:r>
      <w:r>
        <w:rPr>
          <w:rFonts w:hint="eastAsia"/>
        </w:rPr>
        <w:t xml:space="preserve">(线性、二次、三次)，均值场与真实器件对比；(d)</w:t>
      </w:r>
      <w:r>
        <w:t xml:space="preserve"> </w:t>
      </w:r>
      <w:r>
        <w:rPr>
          <w:rFonts w:hint="eastAsia"/>
        </w:rPr>
        <w:t xml:space="preserve">各阶容量与总量随工作点偏置的变化。</w:t>
      </w:r>
    </w:p>
    <w:p>
      <w:pPr>
        <w:pStyle w:val="BodyText"/>
      </w:pPr>
      <w:r>
        <w:rPr>
          <w:rFonts w:hint="eastAsia"/>
        </w:rPr>
        <w:t xml:space="preserve">Mackey-Glass单步预测NRMSE低至0.006，随预测步长增至约0.04，表明储备池能稳定承担混沌动力学的短时预测。容量分解</w:t>
      </w:r>
      <w:r>
        <w:rPr>
          <w:rStyle w:val="FootnoteReference"/>
        </w:rPr>
        <w:footnoteReference w:id="50"/>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自零起单调释放，线性容量近乎不变，度不超过三的容量窗总量随之上升而始终远低于秩上界；即偏置并非在固定总量内做再分配，而是把容量从高阶与长延迟的窗口外移入低阶可用窗口。这把5.4节的记忆与非线性权衡从单一乘积任务推广到完整的多项式容量谱，工作点偏置由此成为在固定器件上调节可用容量构成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3558141"/>
            <wp:effectExtent b="0" l="0" r="0" t="0"/>
            <wp:docPr descr="" title="" id="52" name="Picture"/>
            <a:graphic>
              <a:graphicData uri="http://schemas.openxmlformats.org/drawingml/2006/picture">
                <pic:pic>
                  <pic:nvPicPr>
                    <pic:cNvPr descr="figs/Chapter05_local_07.png" id="53" name="Picture"/>
                    <pic:cNvPicPr>
                      <a:picLocks noChangeArrowheads="1" noChangeAspect="1"/>
                    </pic:cNvPicPr>
                  </pic:nvPicPr>
                  <pic:blipFill>
                    <a:blip r:embed="rId51"/>
                    <a:stretch>
                      <a:fillRect/>
                    </a:stretch>
                  </pic:blipFill>
                  <pic:spPr bwMode="auto">
                    <a:xfrm>
                      <a:off x="0" y="0"/>
                      <a:ext cx="5334000" cy="3558141"/>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、1000步推理下，sMTJ-RC的读出能量按提取的sky130</w:t>
      </w:r>
      <w:r>
        <w:t xml:space="preserve"> </w:t>
      </w:r>
      <w:r>
        <w:rPr>
          <w:rFonts w:hint="eastAsia"/>
        </w:rPr>
        <w:t xml:space="preserve">StrongARM比较器与电容数模阵列标定的逐次逼近转换计入</w:t>
      </w:r>
      <w:r>
        <w:rPr>
          <w:rStyle w:val="FootnoteReference"/>
        </w:rPr>
        <w:footnoteReference w:id="54"/>
      </w:r>
      <w:r>
        <w:rPr>
          <w:rFonts w:hint="eastAsia"/>
        </w:rPr>
        <w:t xml:space="preserve">，其单次推理能量较常规数字ESN低约30倍</w:t>
      </w:r>
      <w:r>
        <w:t xml:space="preserve"> </w:t>
      </w:r>
      <w:r>
        <w:rPr>
          <w:rFonts w:hint="eastAsia"/>
        </w:rPr>
        <w:t xml:space="preserve">(逐节点8位读出；改用列共享时分复用读出约35倍)，按单位记忆容量能耗计更低约一个数量级。又因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(图5.7(c))。其边界也清楚：理想存内计算ESN</w:t>
      </w:r>
      <w:r>
        <w:t xml:space="preserve"> </w:t>
      </w:r>
      <w:r>
        <w:rPr>
          <w:rFonts w:hint="eastAsia"/>
        </w:rPr>
        <w:t xml:space="preserve">(忽略ADC开销)</w:t>
      </w:r>
      <w:r>
        <w:t xml:space="preserve"> </w:t>
      </w:r>
      <w:r>
        <w:rPr>
          <w:rFonts w:hint="eastAsia"/>
        </w:rPr>
        <w:t xml:space="preserve">的下界仍低于sMTJ-RC，故该优势成立的前提是相对冯诺依曼式数字ESN的比较，而非相对最激进的模拟存内计算。图5.7(d)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中具备明确优势。</w:t>
      </w:r>
    </w:p>
    <w:p>
      <w:pPr>
        <w:pStyle w:val="BodyText"/>
      </w:pPr>
      <w:r>
        <w:rPr>
          <w:rFonts w:hint="eastAsia"/>
        </w:rPr>
        <w:t xml:space="preserve">上述能量对比把读出连同模数转换计入，其底层是读出与阵列的协同设计</w:t>
      </w:r>
      <w:r>
        <w:rPr>
          <w:rStyle w:val="FootnoteReference"/>
        </w:rPr>
        <w:footnoteReference w:id="55"/>
      </w:r>
      <w:r>
        <w:rPr>
          <w:rFonts w:hint="eastAsia"/>
        </w:rPr>
        <w:t xml:space="preserve">。把模数转换能量以提取的sky130</w:t>
      </w:r>
      <w:r>
        <w:t xml:space="preserve"> </w:t>
      </w:r>
      <w:r>
        <w:rPr>
          <w:rFonts w:hint="eastAsia"/>
        </w:rPr>
        <w:t xml:space="preserve">StrongARM比较器作逐次逼近转换器的比较器项、电容数模阵列的开关能量以sky130单位电容标定后，读出主导储备池能量：比较器即使3位分辨也已占总能量近九成</w:t>
      </w:r>
      <w:r>
        <w:t xml:space="preserve"> </w:t>
      </w:r>
      <w:r>
        <w:rPr>
          <w:rFonts w:hint="eastAsia"/>
        </w:rPr>
        <w:t xml:space="preserve">(图5.9)；但比较器项随位数线性增长，分辨率的能量惩罚温和。对集成式储备池而言低至中等分辨读出即足这一结论本身在近期工作中已有报道</w:t>
      </w:r>
      <w:r>
        <w:rPr>
          <w:rStyle w:val="FootnoteReference"/>
        </w:rPr>
        <w:footnoteReference w:id="56"/>
      </w:r>
      <w:r>
        <w:rPr>
          <w:rFonts w:hint="eastAsia"/>
        </w:rPr>
        <w:t xml:space="preserve">，本章区别于该工作之处在于以记忆容量每焦耳为目标、把节点数纳入联合权衡，并采用列共享、时分复用的逐次逼近转换器，把一套比较器与电容阵列摊销到超顺磁电报噪声节点之上</w:t>
      </w:r>
      <w:r>
        <w:t xml:space="preserve"> </w:t>
      </w:r>
      <w:r>
        <w:rPr>
          <w:rFonts w:hint="eastAsia"/>
        </w:rPr>
        <w:t xml:space="preserve">(图5.8)。正是这一摊销使前述能量优势在含提取读出时仍达约30倍</w:t>
      </w:r>
      <w:r>
        <w:t xml:space="preserve"> </w:t>
      </w:r>
      <w:r>
        <w:rPr>
          <w:rFonts w:hint="eastAsia"/>
        </w:rPr>
        <w:t xml:space="preserve">(逐节点8位)</w:t>
      </w:r>
      <w:r>
        <w:t xml:space="preserve"> </w:t>
      </w:r>
      <w:r>
        <w:rPr>
          <w:rFonts w:hint="eastAsia"/>
        </w:rPr>
        <w:t xml:space="preserve">至约35倍</w:t>
      </w:r>
      <w:r>
        <w:t xml:space="preserve"> </w:t>
      </w:r>
      <w:r>
        <w:rPr>
          <w:rFonts w:hint="eastAsia"/>
        </w:rPr>
        <w:t xml:space="preserve">(列共享)，而非以降低分辨率换取。</w:t>
      </w:r>
    </w:p>
    <w:p>
      <w:pPr>
        <w:pStyle w:val="BodyText"/>
      </w:pPr>
      <w:r>
        <w:drawing>
          <wp:inline>
            <wp:extent cx="5334000" cy="2788227"/>
            <wp:effectExtent b="0" l="0" r="0" t="0"/>
            <wp:docPr descr="" title="" id="59" name="Picture"/>
            <a:graphic>
              <a:graphicData uri="http://schemas.openxmlformats.org/drawingml/2006/picture">
                <pic:pic>
                  <pic:nvPicPr>
                    <pic:cNvPr descr="figs/Chapter05_local_08.png" id="60" name="Picture"/>
                    <pic:cNvPicPr>
                      <a:picLocks noChangeArrowheads="1" noChangeAspect="1"/>
                    </pic:cNvPicPr>
                  </pic:nvPicPr>
                  <pic:blipFill>
                    <a:blip r:embed="rId58"/>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rFonts w:hint="eastAsia"/>
          <w:b/>
          <w:bCs/>
        </w:rPr>
        <w:t xml:space="preserve">图5.8</w:t>
      </w:r>
      <w:r>
        <w:t xml:space="preserve"> </w:t>
      </w:r>
      <w:r>
        <w:rPr>
          <w:rFonts w:hint="eastAsia"/>
        </w:rPr>
        <w:t xml:space="preserve">列共享、时分复用的逐次逼近读出电路。多列抽头经采样开关时分复用到单一电荷再分配电容数模阵列的共享顶板节点，二进制加权电容底板由各位开关在参考电压与地之间切换，StrongARM比较器</w:t>
      </w:r>
      <w:r>
        <w:t xml:space="preserve"> </w:t>
      </w:r>
      <w:r>
        <w:rPr>
          <w:rFonts w:hint="eastAsia"/>
        </w:rPr>
        <w:t xml:space="preserve">(其晶体管级网表与第四章读出共用)</w:t>
      </w:r>
      <w:r>
        <w:t xml:space="preserve"> </w:t>
      </w:r>
      <w:r>
        <w:rPr>
          <w:rFonts w:hint="eastAsia"/>
        </w:rPr>
        <w:t xml:space="preserve">逐位逼近，逐次逼近寄存器输出数字码。一套比较器与电容阵列在各列间摊销，是上述读出能量得以受控的电路根据。</w:t>
      </w:r>
    </w:p>
    <w:p>
      <w:pPr>
        <w:pStyle w:val="BodyText"/>
      </w:pPr>
      <w:r>
        <w:drawing>
          <wp:inline>
            <wp:extent cx="5334000" cy="1687409"/>
            <wp:effectExtent b="0" l="0" r="0" t="0"/>
            <wp:docPr descr="" title="" id="62" name="Picture"/>
            <a:graphic>
              <a:graphicData uri="http://schemas.openxmlformats.org/drawingml/2006/picture">
                <pic:pic>
                  <pic:nvPicPr>
                    <pic:cNvPr descr="figs/Chapter05_local_09.png" id="63" name="Picture"/>
                    <pic:cNvPicPr>
                      <a:picLocks noChangeArrowheads="1" noChangeAspect="1"/>
                    </pic:cNvPicPr>
                  </pic:nvPicPr>
                  <pic:blipFill>
                    <a:blip r:embed="rId61"/>
                    <a:stretch>
                      <a:fillRect/>
                    </a:stretch>
                  </pic:blipFill>
                  <pic:spPr bwMode="auto">
                    <a:xfrm>
                      <a:off x="0" y="0"/>
                      <a:ext cx="5334000" cy="1687409"/>
                    </a:xfrm>
                    <a:prstGeom prst="rect">
                      <a:avLst/>
                    </a:prstGeom>
                    <a:noFill/>
                    <a:ln w="9525">
                      <a:noFill/>
                      <a:headEnd/>
                      <a:tailEnd/>
                    </a:ln>
                  </pic:spPr>
                </pic:pic>
              </a:graphicData>
            </a:graphic>
          </wp:inline>
        </w:drawing>
      </w:r>
    </w:p>
    <w:p>
      <w:pPr>
        <w:pStyle w:val="BodyText"/>
      </w:pPr>
      <w:r>
        <w:rPr>
          <w:rFonts w:hint="eastAsia"/>
          <w:b/>
          <w:bCs/>
        </w:rPr>
        <w:t xml:space="preserve">图5.9</w:t>
      </w:r>
      <w:r>
        <w:t xml:space="preserve"> </w:t>
      </w:r>
      <w:r>
        <w:rPr>
          <w:rFonts w:hint="eastAsia"/>
        </w:rPr>
        <w:t xml:space="preserve">储备池读出的能量协同与外围方案的同流程对比。(a)</w:t>
      </w:r>
      <w:r>
        <w:t xml:space="preserve"> </w:t>
      </w:r>
      <w:r>
        <w:rPr>
          <w:rFonts w:hint="eastAsia"/>
        </w:rPr>
        <w:t xml:space="preserve">等能量前沿：记忆容量对每步能量、颜色为模数转换位数；读出主导能量</w:t>
      </w:r>
      <w:r>
        <w:t xml:space="preserve"> </w:t>
      </w:r>
      <w:r>
        <w:rPr>
          <w:rFonts w:hint="eastAsia"/>
        </w:rPr>
        <w:t xml:space="preserve">(比较器即使低分辨也占近九成)，但比较器项随位数线性增长，故分辨率的能量惩罚温和——支撑以列共享摊销比较器、而非降低分辨率为读出能量杠杆。(b)</w:t>
      </w:r>
      <w:r>
        <w:t xml:space="preserve"> </w:t>
      </w:r>
      <w:r>
        <w:rPr>
          <w:rFonts w:hint="eastAsia"/>
        </w:rPr>
        <w:t xml:space="preserve">计入物理模数转换读出后，sMTJ-RC相对数字ESN的能量优势</w:t>
      </w:r>
      <w:r>
        <w:t xml:space="preserve"> </w:t>
      </w:r>
      <w:r>
        <w:rPr>
          <w:rFonts w:hint="eastAsia"/>
        </w:rPr>
        <w:t xml:space="preserve">(逐节点／列共享、不同位数)，落在约30–35×。(c)</w:t>
      </w:r>
      <w:r>
        <w:t xml:space="preserve"> </w:t>
      </w:r>
      <w:r>
        <w:rPr>
          <w:rFonts w:hint="eastAsia"/>
        </w:rPr>
        <w:t xml:space="preserve">两种SAR电容数模阵列开关方案</w:t>
      </w:r>
      <w:r>
        <w:t xml:space="preserve"> </w:t>
      </w:r>
      <w:r>
        <w:rPr>
          <w:rFonts w:hint="eastAsia"/>
        </w:rPr>
        <w:t xml:space="preserve">(本文monotonic与conventional)</w:t>
      </w:r>
      <w:r>
        <w:t xml:space="preserve"> </w:t>
      </w:r>
      <w:r>
        <w:rPr>
          <w:rFonts w:hint="eastAsia"/>
        </w:rPr>
        <w:t xml:space="preserve">在同一sky130暂态电荷积分下的单次转换能量</w:t>
      </w:r>
      <w:r>
        <w:t xml:space="preserve"> (</w:t>
      </w:r>
      <m:oMath>
        <m:r>
          <m:t>b</m:t>
        </m:r>
        <m:r>
          <m:rPr>
            <m:sty m:val="p"/>
          </m:rPr>
          <m:t>=</m:t>
        </m:r>
        <m:r>
          <m:t>8</m:t>
        </m:r>
      </m:oMath>
      <w:r>
        <w:rPr>
          <w:rFonts w:hint="eastAsia"/>
        </w:rPr>
        <w:t xml:space="preserve">，电容DAC开关能与已提取比较器能分项堆叠)：monotonic把电容DAC开关能压低约4.3倍</w:t>
      </w:r>
      <w:r>
        <w:t xml:space="preserve"> </w:t>
      </w:r>
      <w:r>
        <w:rPr>
          <w:rFonts w:hint="eastAsia"/>
        </w:rPr>
        <w:t xml:space="preserve">(92.3对394.7</w:t>
      </w:r>
      <w:r>
        <w:t xml:space="preserve"> </w:t>
      </w:r>
      <w:r>
        <w:rPr>
          <w:rFonts w:hint="eastAsia"/>
        </w:rPr>
        <w:t xml:space="preserve">fJ)，而按位线性的比较器项主导总能量，印证读出能量杠杆在于跨列摊销比较器而非削减位数。各备选方案与同流程分析见附录D。</w:t>
      </w:r>
    </w:p>
    <w:bookmarkEnd w:id="64"/>
    <w:bookmarkStart w:id="69" w:name="本章小结"/>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rPr>
          <w:rStyle w:val="FootnoteReference"/>
        </w:rPr>
        <w:footnoteReference w:id="65"/>
      </w:r>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上述三类用法在同一套器件—阵列—外围硬件上的整体组织见图5.10。该图把全文主线的器件、阵列、外围与操作模式四个层次串起：右侧操作模式层并列概率位推断与储备池两种时分复用用法，正与本节所述受限统一阵列相对应。</w:t>
      </w:r>
    </w:p>
    <w:p>
      <w:pPr>
        <w:pStyle w:val="BodyText"/>
      </w:pPr>
      <w:r>
        <w:drawing>
          <wp:inline>
            <wp:extent cx="5334000" cy="2611235"/>
            <wp:effectExtent b="0" l="0" r="0" t="0"/>
            <wp:docPr descr="" title="" id="67" name="Picture"/>
            <a:graphic>
              <a:graphicData uri="http://schemas.openxmlformats.org/drawingml/2006/picture">
                <pic:pic>
                  <pic:nvPicPr>
                    <pic:cNvPr descr="figs/Chapter05_local_10.png" id="68" name="Picture"/>
                    <pic:cNvPicPr>
                      <a:picLocks noChangeArrowheads="1" noChangeAspect="1"/>
                    </pic:cNvPicPr>
                  </pic:nvPicPr>
                  <pic:blipFill>
                    <a:blip r:embed="rId66"/>
                    <a:stretch>
                      <a:fillRect/>
                    </a:stretch>
                  </pic:blipFill>
                  <pic:spPr bwMode="auto">
                    <a:xfrm>
                      <a:off x="0" y="0"/>
                      <a:ext cx="5334000" cy="2611235"/>
                    </a:xfrm>
                    <a:prstGeom prst="rect">
                      <a:avLst/>
                    </a:prstGeom>
                    <a:noFill/>
                    <a:ln w="9525">
                      <a:noFill/>
                      <a:headEnd/>
                      <a:tailEnd/>
                    </a:ln>
                  </pic:spPr>
                </pic:pic>
              </a:graphicData>
            </a:graphic>
          </wp:inline>
        </w:drawing>
      </w:r>
    </w:p>
    <w:p>
      <w:pPr>
        <w:pStyle w:val="BodyText"/>
      </w:pPr>
      <w:r>
        <w:rPr>
          <w:rFonts w:hint="eastAsia"/>
          <w:b/>
          <w:bCs/>
        </w:rPr>
        <w:t xml:space="preserve">图5.10</w:t>
      </w:r>
      <w:r>
        <w:t xml:space="preserve"> </w:t>
      </w:r>
      <w:r>
        <w:rPr>
          <w:rFonts w:hint="eastAsia"/>
        </w:rPr>
        <w:t xml:space="preserve">sMTJ概率位／储备池计算的整体系统架构</w:t>
      </w:r>
      <w:r>
        <w:t xml:space="preserve"> </w:t>
      </w:r>
      <w:r>
        <w:rPr>
          <w:rFonts w:hint="eastAsia"/>
        </w:rPr>
        <w:t xml:space="preserve">(器件</w:t>
      </w:r>
      <w:r>
        <w:t xml:space="preserve"> → </w:t>
      </w:r>
      <w:r>
        <w:rPr>
          <w:rFonts w:hint="eastAsia"/>
        </w:rPr>
        <w:t xml:space="preserve">XNOR存内计算阵列</w:t>
      </w:r>
      <w:r>
        <w:t xml:space="preserve"> → sky130 </w:t>
      </w:r>
      <w:r>
        <w:rPr>
          <w:rFonts w:hint="eastAsia"/>
        </w:rPr>
        <w:t xml:space="preserve">CMOS外围</w:t>
      </w:r>
      <w:r>
        <w:t xml:space="preserve"> → </w:t>
      </w:r>
      <w:r>
        <w:rPr>
          <w:rFonts w:hint="eastAsia"/>
        </w:rPr>
        <w:t xml:space="preserve">操作模式)。同一物理阵列经BL/SL、WWL/RWL、RBL与外围耦合，右侧操作模式层并列概率位推断与储备池两种时分复用用法，顶部虚线为闭环采样反馈，底栏标出各层的抽象级别及其sky130实现来源</w:t>
      </w:r>
      <w:r>
        <w:t xml:space="preserve"> </w:t>
      </w:r>
      <w:r>
        <w:rPr>
          <w:rFonts w:hint="eastAsia"/>
        </w:rPr>
        <w:t xml:space="preserve">(外围层为提取数)。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前两类任务利用的是器件的瞬时随机性，本章进一步把可用资源延伸到器件的时域动力学，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69"/>
    <w:bookmarkStart w:id="70" w:name="参考文献"/>
    <w:p>
      <w:pPr>
        <w:pStyle w:val="Heading2"/>
      </w:pPr>
      <w:r>
        <w:rPr>
          <w:rFonts w:hint="eastAsia"/>
        </w:rPr>
        <w:t xml:space="preserve">参考文献</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 w:id="50">
    <w:p>
      <w:pPr>
        <w:pStyle w:val="FootnoteText"/>
      </w:pPr>
      <w:r>
        <w:rPr>
          <w:rStyle w:val="FootnoteReference"/>
        </w:rPr>
        <w:footnoteRef/>
      </w:r>
      <w:r>
        <w:t xml:space="preserve"> </w:t>
      </w:r>
      <w:r>
        <w:rPr>
          <w:rFonts w:hint="eastAsia"/>
        </w:rPr>
        <w:t xml:space="preserve">容量按正交归一的信息处理容量[^rc_ipc]度量：以输入均匀分布下正交归一的Legendre多项式跨延迟乘积为基（延迟至20步、总阶至三、序列长度</w:t>
      </w:r>
      <m:oMath>
        <m:r>
          <m:t>1.2</m:t>
        </m:r>
        <m:r>
          <m:rPr>
            <m:sty m:val="p"/>
          </m:rPr>
          <m:t>×</m:t>
        </m:r>
        <m:sSup>
          <m:e>
            <m:r>
              <m:t>10</m:t>
            </m:r>
          </m:e>
          <m:sup>
            <m:r>
              <m:t>4</m:t>
            </m:r>
          </m:sup>
        </m:sSup>
      </m:oMath>
      <w:r>
        <w:rPr>
          <w:rFonts w:hint="eastAsia"/>
        </w:rPr>
        <w:t xml:space="preserve">），逐基函数取留出</w:t>
      </w:r>
      <m:oMath>
        <m:sSup>
          <m:e>
            <m:r>
              <m:t>r</m:t>
            </m:r>
          </m:e>
          <m:sup>
            <m:r>
              <m:t>2</m:t>
            </m:r>
          </m:sup>
        </m:sSup>
      </m:oMath>
      <w:r>
        <w:rPr>
          <w:rFonts w:hint="eastAsia"/>
        </w:rPr>
        <w:t xml:space="preserve">、以时间置换替代目标的最大容量为显著性阈值后各阶求和；总量受储备池状态秩约束，该上界在全部工作点均未触及。早期版本曾以非正交单项式的保留</w:t>
      </w:r>
      <m:oMath>
        <m:sSup>
          <m:e>
            <m:r>
              <m:t>r</m:t>
            </m:r>
          </m:e>
          <m:sup>
            <m:r>
              <m:t>2</m:t>
            </m:r>
          </m:sup>
        </m:sSup>
      </m:oMath>
      <w:r>
        <w:rPr>
          <w:rFonts w:hint="eastAsia"/>
        </w:rPr>
        <w:t xml:space="preserve">之和作实用代理，正交化后各阶数值改变，奇偶对称与二次容量释放的结构性结论不变，唯早期「总量大致守恒」的表述被修正为窗内总量随偏置上升。</w:t>
      </w:r>
    </w:p>
  </w:footnote>
  <w:footnote w:id="54">
    <w:p>
      <w:pPr>
        <w:pStyle w:val="FootnoteText"/>
      </w:pPr>
      <w:r>
        <w:rPr>
          <w:rStyle w:val="FootnoteReference"/>
        </w:rPr>
        <w:footnoteRef/>
      </w:r>
      <w:r>
        <w:t xml:space="preserve"> </w:t>
      </w:r>
      <w:r>
        <w:rPr>
          <w:rFonts w:hint="eastAsia"/>
        </w:rPr>
        <w:t xml:space="preserve">外围电路的工艺节点与各项提取方式统一见4.6节：开源sky130</w:t>
      </w:r>
      <w:r>
        <w:t xml:space="preserve"> 130 </w:t>
      </w:r>
      <w:r>
        <w:rPr>
          <w:rFonts w:hint="eastAsia"/>
        </w:rPr>
        <w:t xml:space="preserve">nm，比较器判决能由Magic提取的器件电容结合ngspice瞬态积分得到，电容数模阵列开关能以sky130单位电容密度标定。</w:t>
      </w:r>
    </w:p>
  </w:footnote>
  <w:footnote w:id="55">
    <w:p>
      <w:pPr>
        <w:pStyle w:val="FootnoteText"/>
      </w:pPr>
      <w:r>
        <w:rPr>
          <w:rStyle w:val="FootnoteReference"/>
        </w:rPr>
        <w:footnoteRef/>
      </w:r>
      <w:r>
        <w:t xml:space="preserve"> </w:t>
      </w:r>
      <w:r>
        <w:rPr>
          <w:rFonts w:hint="eastAsia"/>
        </w:rPr>
        <w:t xml:space="preserve">此处记录一次口径订正：储备池能量模型的早期版本把读出计为近乎无代价的整数乘加项，与读出精度实为记忆容量限制者的结论相矛盾；以提取参数重标定后，读出被确认为主导项，本节结论均按订正后的口径给出。</w:t>
      </w:r>
    </w:p>
  </w:footnote>
  <w:footnote w:id="56">
    <w:p>
      <w:pPr>
        <w:pStyle w:val="FootnoteText"/>
      </w:pPr>
      <w:r>
        <w:rPr>
          <w:rStyle w:val="FootnoteReference"/>
        </w:rPr>
        <w:footnoteRef/>
      </w:r>
      <w:r>
        <w:t xml:space="preserve"> </w:t>
      </w:r>
      <w:r>
        <w:t xml:space="preserve">Nakamura Y, Kubota T, Imai Y, Tsunegi S, Notsu H, Nakajima K. Ensemble reservoir computing for physical systems.</w:t>
      </w:r>
      <w:r>
        <w:t xml:space="preserve"> </w:t>
      </w:r>
      <w:r>
        <w:rPr>
          <w:i/>
          <w:iCs/>
        </w:rPr>
        <w:t xml:space="preserve">arXiv preprint</w:t>
      </w:r>
      <w:r>
        <w:t xml:space="preserve">, 2026.</w:t>
      </w:r>
      <w:r>
        <w:t xml:space="preserve"> </w:t>
      </w:r>
      <w:hyperlink r:id="rId57">
        <w:r>
          <w:rPr>
            <w:rStyle w:val="Hyperlink"/>
          </w:rPr>
          <w:t xml:space="preserve">arXiv:2601.21807</w:t>
        </w:r>
      </w:hyperlink>
    </w:p>
  </w:footnote>
  <w:footnote w:id="65">
    <w:p>
      <w:pPr>
        <w:pStyle w:val="FootnoteText"/>
      </w:pPr>
      <w:r>
        <w:rPr>
          <w:rStyle w:val="FootnoteReference"/>
        </w:rPr>
        <w:footnoteRef/>
      </w:r>
      <w:r>
        <w:t xml:space="preserve"> </w:t>
      </w:r>
      <w:r>
        <w:rPr>
          <w:rFonts w:hint="eastAsia"/>
        </w:rPr>
        <w:t xml:space="preserve">本工作工作点下最优</w:t>
      </w:r>
      <m:oMath>
        <m:r>
          <m:rPr>
            <m:sty m:val="p"/>
          </m:rPr>
          <m:t>Δ</m:t>
        </m:r>
      </m:oMath>
      <w:r>
        <w:rPr>
          <w:rFonts w:hint="eastAsia"/>
        </w:rPr>
        <w:t xml:space="preserve">约为4，平缓高原覆盖3.5至4.3，相对PBNN写器件的</w:t>
      </w:r>
      <m:oMath>
        <m:r>
          <m:t>4.91</m:t>
        </m:r>
      </m:oMath>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hyperlink" Id="rId57"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57"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2026-07-08T08:03:12Z</dcterms:created>
  <dcterms:modified xsi:type="dcterms:W3CDTF">2026-07-08T08:03:12Z</dcterms:modified>
</cp:coreProperties>
</file>

<file path=docProps/custom.xml><?xml version="1.0" encoding="utf-8"?>
<Properties xmlns="http://schemas.openxmlformats.org/officeDocument/2006/custom-properties" xmlns:vt="http://schemas.openxmlformats.org/officeDocument/2006/docPropsVTypes"/>
</file>