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98.png" ContentType="image/png"/>
  <Override PartName="/word/media/rId1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7" w:name="第一章-绪论"/>
    <w:p>
      <w:pPr>
        <w:pStyle w:val="Heading1"/>
      </w:pPr>
      <w:r>
        <w:rPr>
          <w:rFonts w:hint="eastAsia"/>
        </w:rPr>
        <w:t xml:space="preserve">第一章</w:t>
      </w:r>
      <w:r>
        <w:t xml:space="preserve"> </w:t>
      </w:r>
      <w:r>
        <w:rPr>
          <w:rFonts w:hint="eastAsia"/>
        </w:rPr>
        <w:t xml:space="preserve">绪论</w:t>
      </w:r>
    </w:p>
    <w:p>
      <w:pPr>
        <w:pStyle w:val="FirstParagraph"/>
      </w:pPr>
      <w:r>
        <w:rPr>
          <w:rFonts w:hint="eastAsia"/>
        </w:rPr>
        <w:t xml:space="preserve">本章为全文立论，背景与本文工作分置：1.1节与1.2节为背景，前者梳理由数值计算到概率计算的动因、数学框架与器件实现路径，后者建立概率二值器件与三类任务之间的算法-物理对应并界定尚未闭合的研究空白；1.3节转入本文工作，给出研究思路、创新点与全文组织，本文的主张与定量结果集中于该节及后续各章。</w:t>
      </w:r>
    </w:p>
    <w:bookmarkStart w:id="118" w:name="研究背景从数值计算范式到概率计算范式"/>
    <w:p>
      <w:pPr>
        <w:pStyle w:val="Heading2"/>
      </w:pPr>
      <w:r>
        <w:t xml:space="preserve">1.1 </w:t>
      </w:r>
      <w:r>
        <w:rPr>
          <w:rFonts w:hint="eastAsia"/>
        </w:rPr>
        <w:t xml:space="preserve">研究背景：从数值计算范式到概率计算范式</w:t>
      </w:r>
    </w:p>
    <w:bookmarkStart w:id="52" w:name="高精度数值计算的硬件代价与部署约束"/>
    <w:p>
      <w:pPr>
        <w:pStyle w:val="Heading3"/>
      </w:pPr>
      <w:r>
        <w:t xml:space="preserve">1.1.1 </w:t>
      </w:r>
      <w:r>
        <w:rPr>
          <w:rFonts w:hint="eastAsia"/>
        </w:rPr>
        <w:t xml:space="preserve">高精度数值计算的硬件代价与部署约束</w:t>
      </w:r>
    </w:p>
    <w:p>
      <w:pPr>
        <w:pStyle w:val="FirstParagraph"/>
      </w:pPr>
      <w:r>
        <w:rPr>
          <w:rFonts w:hint="eastAsia"/>
        </w:rPr>
        <w:t xml:space="preserve">过去十余年，深度神经网络在视觉、语音与语言等任务上确立了主导地位，其硬件基础却逐渐形成结构性失衡。Gholami等人对二十年硬件演进的系统统计表明</w:t>
      </w:r>
      <w:r>
        <w:rPr>
          <w:rStyle w:val="FootnoteReference"/>
        </w:rPr>
        <w:footnoteReference w:id="9"/>
      </w:r>
      <w:r>
        <w:rPr>
          <w:rFonts w:hint="eastAsia"/>
        </w:rPr>
        <w:t xml:space="preserve">，服务器级硬件的峰值浮点算力以每两年约3.0倍增长，DRAM带宽每两年仅为1.6倍、互连带宽每两年更低至1.4倍，模型参数规模的增速则远超片上存储容量的增长；系统性能的瓶颈由此从计算单元转移至其与存储之间的数据通路，计算单元大多数时间处于等待数据的空转状态。</w:t>
      </w:r>
    </w:p>
    <w:p>
      <w:pPr>
        <w:pStyle w:val="BodyText"/>
      </w:pPr>
      <w:r>
        <w:drawing>
          <wp:inline>
            <wp:extent cx="5334000" cy="1961180"/>
            <wp:effectExtent b="0" l="0" r="0" t="0"/>
            <wp:docPr descr="" title="" id="12" name="Picture"/>
            <a:graphic>
              <a:graphicData uri="http://schemas.openxmlformats.org/drawingml/2006/picture">
                <pic:pic>
                  <pic:nvPicPr>
                    <pic:cNvPr descr="./figs/Chapter01_local_01.png" id="13" name="Picture"/>
                    <pic:cNvPicPr>
                      <a:picLocks noChangeArrowheads="1" noChangeAspect="1"/>
                    </pic:cNvPicPr>
                  </pic:nvPicPr>
                  <pic:blipFill>
                    <a:blip r:embed="rId11"/>
                    <a:stretch>
                      <a:fillRect/>
                    </a:stretch>
                  </pic:blipFill>
                  <pic:spPr bwMode="auto">
                    <a:xfrm>
                      <a:off x="0" y="0"/>
                      <a:ext cx="5334000" cy="1961180"/>
                    </a:xfrm>
                    <a:prstGeom prst="rect">
                      <a:avLst/>
                    </a:prstGeom>
                    <a:noFill/>
                    <a:ln w="9525">
                      <a:noFill/>
                      <a:headEnd/>
                      <a:tailEnd/>
                    </a:ln>
                  </pic:spPr>
                </pic:pic>
              </a:graphicData>
            </a:graphic>
          </wp:inline>
        </w:drawing>
      </w:r>
    </w:p>
    <w:p>
      <w:pPr>
        <w:pStyle w:val="BodyText"/>
      </w:pPr>
      <w:r>
        <w:rPr>
          <w:rFonts w:hint="eastAsia"/>
          <w:b/>
          <w:bCs/>
        </w:rPr>
        <w:t xml:space="preserve">图1.1</w:t>
      </w:r>
      <w:r>
        <w:t xml:space="preserve"> </w:t>
      </w:r>
      <w:r>
        <w:rPr>
          <w:rFonts w:hint="eastAsia"/>
        </w:rPr>
        <w:t xml:space="preserve">AI规模演进与冯诺依曼架构的能耗结构。模型参数规模、计算吞吐与存储/互连带宽的增长速率逐步分离，数据访问能耗相对算术运算能耗的差距共同揭示了数值计算范式下存储墙的系统级约束。</w:t>
      </w:r>
    </w:p>
    <w:p>
      <w:pPr>
        <w:pStyle w:val="BodyText"/>
      </w:pPr>
      <w:r>
        <w:rPr>
          <w:rFonts w:hint="eastAsia"/>
        </w:rPr>
        <w:t xml:space="preserve">将上述失衡折算到单次运算的能量预算上，问题更为直观。Horowitz在ISSCC</w:t>
      </w:r>
      <w:r>
        <w:t xml:space="preserve"> </w:t>
      </w:r>
      <w:r>
        <w:rPr>
          <w:rFonts w:hint="eastAsia"/>
        </w:rPr>
        <w:t xml:space="preserve">2014给出的45</w:t>
      </w:r>
      <w:r>
        <w:t xml:space="preserve"> </w:t>
      </w:r>
      <w:r>
        <w:rPr>
          <w:rFonts w:hint="eastAsia"/>
        </w:rPr>
        <w:t xml:space="preserve">nm工艺能耗数据</w:t>
      </w:r>
      <w:r>
        <w:rPr>
          <w:rStyle w:val="FootnoteReference"/>
        </w:rPr>
        <w:footnoteReference w:id="14"/>
      </w:r>
      <w:r>
        <w:rPr>
          <w:rFonts w:hint="eastAsia"/>
        </w:rPr>
        <w:t xml:space="preserve">经Sze等人</w:t>
      </w:r>
      <w:r>
        <w:rPr>
          <w:rStyle w:val="FootnoteReference"/>
        </w:rPr>
        <w:footnoteReference w:id="16"/>
      </w:r>
      <w:r>
        <w:rPr>
          <w:rFonts w:hint="eastAsia"/>
        </w:rPr>
        <w:t xml:space="preserve">整理为后续广泛引用的基准：8位整数加法约0.03</w:t>
      </w:r>
      <w:r>
        <w:t xml:space="preserve"> </w:t>
      </w:r>
      <w:r>
        <w:rPr>
          <w:rFonts w:hint="eastAsia"/>
        </w:rPr>
        <w:t xml:space="preserve">pJ、8位整数乘法约0.2</w:t>
      </w:r>
      <w:r>
        <w:t xml:space="preserve"> </w:t>
      </w:r>
      <w:r>
        <w:rPr>
          <w:rFonts w:hint="eastAsia"/>
        </w:rPr>
        <w:t xml:space="preserve">pJ、32位SRAM(8</w:t>
      </w:r>
      <w:r>
        <w:t xml:space="preserve"> KB) </w:t>
      </w:r>
      <w:r>
        <w:rPr>
          <w:rFonts w:hint="eastAsia"/>
        </w:rPr>
        <w:t xml:space="preserve">读取约5</w:t>
      </w:r>
      <w:r>
        <w:t xml:space="preserve"> </w:t>
      </w:r>
      <w:r>
        <w:rPr>
          <w:rFonts w:hint="eastAsia"/>
        </w:rPr>
        <w:t xml:space="preserve">pJ、32位DRAM读取约640</w:t>
      </w:r>
      <w:r>
        <w:t xml:space="preserve"> </w:t>
      </w:r>
      <w:r>
        <w:rPr>
          <w:rFonts w:hint="eastAsia"/>
        </w:rPr>
        <w:t xml:space="preserve">pJ。图1.1(c)</w:t>
      </w:r>
      <w:r>
        <w:t xml:space="preserve"> </w:t>
      </w:r>
      <w:r>
        <w:rPr>
          <w:rFonts w:hint="eastAsia"/>
        </w:rPr>
        <w:t xml:space="preserve">据此绘制，可见一次DRAM访问所耗能量可支撑同一工艺下数千次MAC运算，数据搬移比算术运算昂贵约三个数量级。由于数值精度的每一位在硬件层面都对应确定的物理资源</w:t>
      </w:r>
      <w:r>
        <w:t xml:space="preserve"> </w:t>
      </w:r>
      <w:r>
        <w:rPr>
          <w:rFonts w:hint="eastAsia"/>
        </w:rPr>
        <w:t xml:space="preserve">(存储元胞数、乘法器与总线位宽)</w:t>
      </w:r>
      <w:r>
        <w:t xml:space="preserve"> </w:t>
      </w:r>
      <w:r>
        <w:rPr>
          <w:rFonts w:hint="eastAsia"/>
        </w:rPr>
        <w:t xml:space="preserve">与数据搬移的每比特能量，降低权重位宽与缩短数据搬移路径便成为推理硬件能效最直接的两个杠杆：前者引出低位宽与二值网络，后者引出存内计算</w:t>
      </w:r>
      <w:r>
        <w:t xml:space="preserve"> (computing-in-memory, CIM)。</w:t>
      </w:r>
    </w:p>
    <w:p>
      <w:pPr>
        <w:pStyle w:val="BodyText"/>
      </w:pPr>
      <w:r>
        <w:rPr>
          <w:rFonts w:hint="eastAsia"/>
        </w:rPr>
        <w:t xml:space="preserve">然而CIM在子阵列内部消除访存瓶颈之后，阵列自身的物理约束随即成为新的规模上限。工程实践中RRAM/MRAM存算子阵列的典型规模为</w:t>
      </w:r>
      <m:oMath>
        <m:r>
          <m:t>128</m:t>
        </m:r>
        <m:r>
          <m:rPr>
            <m:sty m:val="p"/>
          </m:rPr>
          <m:t>×</m:t>
        </m:r>
        <m:r>
          <m:t>128</m:t>
        </m:r>
      </m:oMath>
      <w:r>
        <w:rPr>
          <w:rFonts w:hint="eastAsia"/>
        </w:rPr>
        <w:t xml:space="preserve">至</w:t>
      </w:r>
      <m:oMath>
        <m:r>
          <m:t>256</m:t>
        </m:r>
        <m:r>
          <m:rPr>
            <m:sty m:val="p"/>
          </m:rPr>
          <m:t>×</m:t>
        </m:r>
        <m:r>
          <m:t>256</m:t>
        </m:r>
      </m:oMath>
      <w:r>
        <w:rPr>
          <w:rStyle w:val="FootnoteReference"/>
        </w:rPr>
        <w:footnoteReference w:id="18"/>
      </w:r>
      <w:r>
        <w:rPr>
          <w:rFonts w:hint="eastAsia"/>
        </w:rPr>
        <w:t xml:space="preserve">，代表性RRAM-CIM芯片即把三百万单元划分为48个</w:t>
      </w:r>
      <m:oMath>
        <m:r>
          <m:t>256</m:t>
        </m:r>
        <m:r>
          <m:rPr>
            <m:sty m:val="p"/>
          </m:rPr>
          <m:t>×</m:t>
        </m:r>
        <m:r>
          <m:t>256</m:t>
        </m:r>
      </m:oMath>
      <w:r>
        <w:rPr>
          <w:rFonts w:hint="eastAsia"/>
        </w:rPr>
        <w:t xml:space="preserve">核心而非做大单个阵列</w:t>
      </w:r>
      <w:r>
        <w:rPr>
          <w:rStyle w:val="FootnoteReference"/>
        </w:rPr>
        <w:footnoteReference w:id="20"/>
      </w:r>
      <w:r>
        <w:rPr>
          <w:rFonts w:hint="eastAsia"/>
        </w:rPr>
        <w:t xml:space="preserve">。典型规模之所以受限，是因为扩大阵列会使多项物理约束同时收紧：IR</w:t>
      </w:r>
      <w:r>
        <w:t xml:space="preserve"> </w:t>
      </w:r>
      <w:r>
        <w:rPr>
          <w:rFonts w:hint="eastAsia"/>
        </w:rPr>
        <w:t xml:space="preserve">drop沿位线与字线累积并随阵列维度非线性增长，建模表明未经补偿的</w:t>
      </w:r>
      <m:oMath>
        <m:r>
          <m:t>128</m:t>
        </m:r>
        <m:r>
          <m:rPr>
            <m:sty m:val="p"/>
          </m:rPr>
          <m:t>×</m:t>
        </m:r>
        <m:r>
          <m:t>128</m:t>
        </m:r>
      </m:oMath>
      <w:r>
        <w:rPr>
          <w:rFonts w:hint="eastAsia"/>
        </w:rPr>
        <w:t xml:space="preserve">阵列已可使MNIST推理精度从97%跌至59%</w:t>
      </w:r>
      <w:r>
        <w:rPr>
          <w:rStyle w:val="FootnoteReference"/>
        </w:rPr>
        <w:footnoteReference w:id="22"/>
      </w:r>
      <w:r>
        <w:rPr>
          <w:rFonts w:hint="eastAsia"/>
        </w:rPr>
        <w:t xml:space="preserve">，40</w:t>
      </w:r>
      <w:r>
        <w:t xml:space="preserve"> </w:t>
      </w:r>
      <w:r>
        <w:rPr>
          <w:rFonts w:hint="eastAsia"/>
        </w:rPr>
        <w:t xml:space="preserve">nm代工RRAM测试芯片的实测亦显示256行字线累积的毫伏级压降主导了高累加值下的计算误码</w:t>
      </w:r>
      <w:r>
        <w:rPr>
          <w:rStyle w:val="FootnoteReference"/>
        </w:rPr>
        <w:footnoteReference w:id="24"/>
      </w:r>
      <w:r>
        <w:rPr>
          <w:rFonts w:hint="eastAsia"/>
        </w:rPr>
        <w:t xml:space="preserve">；未选中单元漏电与sneak</w:t>
      </w:r>
      <w:r>
        <w:t xml:space="preserve"> </w:t>
      </w:r>
      <w:r>
        <w:rPr>
          <w:rFonts w:hint="eastAsia"/>
        </w:rPr>
        <w:t xml:space="preserve">path随规模增大而加剧</w:t>
      </w:r>
      <w:r>
        <w:rPr>
          <w:rStyle w:val="FootnoteReference"/>
        </w:rPr>
        <w:footnoteReference w:id="26"/>
      </w:r>
      <w:r>
        <w:rPr>
          <w:rFonts w:hint="eastAsia"/>
        </w:rPr>
        <w:t xml:space="preserve">；给定缺陷密度时，阵列良率随面积近似指数衰减</w:t>
      </w:r>
      <w:r>
        <w:rPr>
          <w:rStyle w:val="FootnoteReference"/>
        </w:rPr>
        <w:footnoteReference w:id="28"/>
      </w:r>
      <w:r>
        <w:rPr>
          <w:rFonts w:hint="eastAsia"/>
        </w:rPr>
        <w:t xml:space="preserve">，量产MRAM在Gb级容量下的高良率须以MTJ关键尺寸控制与冗余修复电路为代价换取</w:t>
      </w:r>
      <w:r>
        <w:rPr>
          <w:rStyle w:val="FootnoteReference"/>
        </w:rPr>
        <w:footnoteReference w:id="30"/>
      </w:r>
      <w:r>
        <w:rPr>
          <w:rFonts w:hint="eastAsia"/>
        </w:rPr>
        <w:t xml:space="preserve">。实用芯片正是以校准补偿、冗余修复与限制阵列规模恢复精度，补偿本身即构成面积与能量开销。当权重矩阵超过单阵列容量时必须分块映射</w:t>
      </w:r>
      <w:r>
        <w:t xml:space="preserve"> </w:t>
      </w:r>
      <w:r>
        <w:rPr>
          <w:rFonts w:hint="eastAsia"/>
        </w:rPr>
        <w:t xml:space="preserve">(tiling)，各子块的部分和</w:t>
      </w:r>
      <w:r>
        <w:t xml:space="preserve"> (partial sum) </w:t>
      </w:r>
      <w:r>
        <w:rPr>
          <w:rFonts w:hint="eastAsia"/>
        </w:rPr>
        <w:t xml:space="preserve">经ADC、缓存与片上互连逐级汇聚：在以DNN+NeuroSim建模的RRAM存算加速器上运行ResNet-18，此类通信开销约占总能量的41%</w:t>
      </w:r>
      <w:r>
        <w:rPr>
          <w:rStyle w:val="FootnoteReference"/>
        </w:rPr>
        <w:footnoteReference w:id="32"/>
      </w:r>
      <w:r>
        <w:rPr>
          <w:rFonts w:hint="eastAsia"/>
        </w:rPr>
        <w:t xml:space="preserve">；列级ADC则是外围的最大开销项，在ISAAC中占tile功耗的58%与tile面积的31%</w:t>
      </w:r>
      <w:r>
        <w:rPr>
          <w:rStyle w:val="FootnoteReference"/>
        </w:rPr>
        <w:footnoteReference w:id="34"/>
      </w:r>
      <w:r>
        <w:rPr>
          <w:rFonts w:hint="eastAsia"/>
        </w:rPr>
        <w:t xml:space="preserve">，后续设计中报告的份额可达约60%能耗与近80%面积</w:t>
      </w:r>
      <w:r>
        <w:rPr>
          <w:rStyle w:val="FootnoteReference"/>
        </w:rPr>
        <w:footnoteReference w:id="36"/>
      </w:r>
      <w:r>
        <w:rPr>
          <w:rFonts w:hint="eastAsia"/>
        </w:rPr>
        <w:t xml:space="preserve">。上述IR</w:t>
      </w:r>
      <w:r>
        <w:t xml:space="preserve"> </w:t>
      </w:r>
      <w:r>
        <w:rPr>
          <w:rFonts w:hint="eastAsia"/>
        </w:rPr>
        <w:t xml:space="preserve">drop、良率与部分和汇聚是阻性交叉阵列的共性约束，在以低单元电阻、高读出摆幅工作的MRAM存算阵列中，写线IR</w:t>
      </w:r>
      <w:r>
        <w:t xml:space="preserve"> </w:t>
      </w:r>
      <w:r>
        <w:rPr>
          <w:rFonts w:hint="eastAsia"/>
        </w:rPr>
        <w:t xml:space="preserve">drop的影响尤为显著。CIM由此在子阵列内部消除了存储墙，却在子阵列之间以部分和搬移的形式重建了它。</w:t>
      </w:r>
    </w:p>
    <w:p>
      <w:pPr>
        <w:pStyle w:val="BodyText"/>
      </w:pPr>
      <w:r>
        <w:rPr>
          <w:rFonts w:hint="eastAsia"/>
        </w:rPr>
        <w:t xml:space="preserve">这些约束在边缘部署场景中最为尖锐。TinyML级边缘设备的功耗预算常在1</w:t>
      </w:r>
      <w:r>
        <w:t xml:space="preserve"> </w:t>
      </w:r>
      <w:r>
        <w:rPr>
          <w:rFonts w:hint="eastAsia"/>
        </w:rPr>
        <w:t xml:space="preserve">mW量级及以下，微控制器级平台仅有数百KB片上SRAM与约1</w:t>
      </w:r>
      <w:r>
        <w:t xml:space="preserve"> </w:t>
      </w:r>
      <w:r>
        <w:rPr>
          <w:rFonts w:hint="eastAsia"/>
        </w:rPr>
        <w:t xml:space="preserve">MB闪存</w:t>
      </w:r>
      <w:r>
        <w:rPr>
          <w:rStyle w:val="FootnoteReference"/>
        </w:rPr>
        <w:footnoteReference w:id="38"/>
      </w:r>
      <w:r>
        <w:rPr>
          <w:rStyle w:val="FootnoteReference"/>
        </w:rPr>
        <w:footnoteReference w:id="40"/>
      </w:r>
      <w:r>
        <w:rPr>
          <w:rFonts w:hint="eastAsia"/>
        </w:rPr>
        <w:t xml:space="preserve">，可部署的网络本就限定在KB至MB级参数规模。在这一预算内，有两类负载在确定性数字硬件上的代价格外高昂。一类是安全攸关推理所需的不确定性量化：在确定性硬件上以MC-dropout近似贝叶斯推断需约百次前向传播、深度集成则需存储并运行多份模型</w:t>
      </w:r>
      <w:r>
        <w:rPr>
          <w:rStyle w:val="FootnoteReference"/>
        </w:rPr>
        <w:footnoteReference w:id="42"/>
      </w:r>
      <w:r>
        <w:rPr>
          <w:rFonts w:hint="eastAsia"/>
        </w:rPr>
        <w:t xml:space="preserve">；微控制器完成一次含十次采样的贝叶斯推理实测耗能约170</w:t>
      </w:r>
      <w:r>
        <w:t xml:space="preserve"> µJ </w:t>
      </w:r>
      <w:r>
        <w:rPr>
          <w:rFonts w:hint="eastAsia"/>
        </w:rPr>
        <w:t xml:space="preserve">(折合每次前向约17</w:t>
      </w:r>
      <w:r>
        <w:t xml:space="preserve"> </w:t>
      </w:r>
      <w:r>
        <w:rPr>
          <w:rFonts w:hint="eastAsia"/>
        </w:rPr>
        <w:t xml:space="preserve">µJ)，采样次数增至约百次时单次置信决策即进入mJ量级</w:t>
      </w:r>
      <w:r>
        <w:rPr>
          <w:rStyle w:val="FootnoteReference"/>
        </w:rPr>
        <w:footnoteReference w:id="44"/>
      </w:r>
      <w:r>
        <w:rPr>
          <w:rFonts w:hint="eastAsia"/>
        </w:rPr>
        <w:t xml:space="preserve">。另一类是随机负载本身的熵源开销：随机计算电路中随机数生成电路可占总电路面积与总能耗的80%</w:t>
      </w:r>
      <w:r>
        <w:rPr>
          <w:rStyle w:val="FootnoteReference"/>
        </w:rPr>
        <w:footnoteReference w:id="46"/>
      </w:r>
      <w:r>
        <w:rPr>
          <w:rStyle w:val="FootnoteReference"/>
        </w:rPr>
        <w:footnoteReference w:id="48"/>
      </w:r>
      <w:r>
        <w:rPr>
          <w:rFonts w:hint="eastAsia"/>
        </w:rPr>
        <w:t xml:space="preserve">，即便在专为概率比特优化的数字实现中，伪随机数发生器仍占其晶体管数约三分之二、每随机位耗能145至293</w:t>
      </w:r>
      <w:r>
        <w:t xml:space="preserve"> fJ</w:t>
      </w:r>
      <w:r>
        <w:rPr>
          <w:rStyle w:val="FootnoteReference"/>
        </w:rPr>
        <w:footnoteReference w:id="50"/>
      </w:r>
      <w:r>
        <w:rPr>
          <w:rFonts w:hint="eastAsia"/>
        </w:rPr>
        <w:t xml:space="preserve">。两类代价共同体现了概率类负载与确定性范式的错配。</w:t>
      </w:r>
    </w:p>
    <w:p>
      <w:pPr>
        <w:pStyle w:val="BodyText"/>
      </w:pPr>
      <w:r>
        <w:rPr>
          <w:rFonts w:hint="eastAsia"/>
        </w:rPr>
        <w:t xml:space="preserve">上述约束的共同语义根源有两层。其一是高精度：即便权重量化至8位乃至更低，精度的每一位仍折算为元胞数、位线摆幅与ADC位宽，在边缘设备mW级功耗与mm²级面积的预算下构成硬约束。其二是确定性：以确定性算术为唯一语义，硬件在制造随机性</w:t>
      </w:r>
      <w:r>
        <w:t xml:space="preserve"> </w:t>
      </w:r>
      <w:r>
        <w:rPr>
          <w:rFonts w:hint="eastAsia"/>
        </w:rPr>
        <w:t xml:space="preserve">(熵源电路)</w:t>
      </w:r>
      <w:r>
        <w:t xml:space="preserve"> </w:t>
      </w:r>
      <w:r>
        <w:rPr>
          <w:rFonts w:hint="eastAsia"/>
        </w:rPr>
        <w:t xml:space="preserve">与抑制器件固有随机性</w:t>
      </w:r>
      <w:r>
        <w:t xml:space="preserve"> </w:t>
      </w:r>
      <w:r>
        <w:rPr>
          <w:rFonts w:hint="eastAsia"/>
        </w:rPr>
        <w:t xml:space="preserve">(电压裕度、纠错)</w:t>
      </w:r>
      <w:r>
        <w:t xml:space="preserve"> </w:t>
      </w:r>
      <w:r>
        <w:rPr>
          <w:rFonts w:hint="eastAsia"/>
        </w:rPr>
        <w:t xml:space="preserve">两端同时付出电路代价，对本身即为概率性的负载尤为不经济。本文所研究的概率计算，正是分别改写这两层语义的一条路径——把精度由空间资源改写为统计资源，把器件随机性由须抑制的噪声改写为可调用的熵源。</w:t>
      </w:r>
    </w:p>
    <w:bookmarkEnd w:id="52"/>
    <w:bookmarkStart w:id="64" w:name="概率计算以统计代替精度的另一条路径"/>
    <w:p>
      <w:pPr>
        <w:pStyle w:val="Heading3"/>
      </w:pPr>
      <w:r>
        <w:t xml:space="preserve">1.1.2 </w:t>
      </w:r>
      <w:r>
        <w:rPr>
          <w:rFonts w:hint="eastAsia"/>
        </w:rPr>
        <w:t xml:space="preserve">概率计算：以统计代替精度的另一条路径</w:t>
      </w:r>
    </w:p>
    <w:p>
      <w:pPr>
        <w:pStyle w:val="FirstParagraph"/>
      </w:pPr>
      <w:r>
        <w:rPr>
          <w:rFonts w:hint="eastAsia"/>
        </w:rPr>
        <w:t xml:space="preserve">前节的代价结构源于数字范式对高精度数值表示与高带宽确定性搬移的依赖，而高精度并非计算的内在前提。von</w:t>
      </w:r>
      <w:r>
        <w:t xml:space="preserve"> </w:t>
      </w:r>
      <w:r>
        <w:rPr>
          <w:rFonts w:hint="eastAsia"/>
        </w:rPr>
        <w:t xml:space="preserve">Neumann早在1956年即论证，可靠的计算不必以可靠的元件为前提，器件误差不必视为意外，可作为计算过程的内在组成部分</w:t>
      </w:r>
      <w:r>
        <w:rPr>
          <w:rStyle w:val="FootnoteReference"/>
        </w:rPr>
        <w:footnoteReference w:id="53"/>
      </w:r>
      <w:r>
        <w:rPr>
          <w:rFonts w:hint="eastAsia"/>
        </w:rPr>
        <w:t xml:space="preserve">；生物神经系统在突触与离子通道的持续热涨落之上稳健工作，是这一论断的旁证。更重要的是，许多与智能密切相关的任务在数学上本就是概率性的：组合优化是在解空间中采样以逼近最优，贝叶斯推断是对后验分布求期望，生成式建模是从分布中抽样。对这类任务，用确定性算术先逼近一个概率量、再耗费电路代价抑制器件噪声</w:t>
      </w:r>
      <w:r>
        <w:t xml:space="preserve"> </w:t>
      </w:r>
      <w:r>
        <w:rPr>
          <w:rFonts w:hint="eastAsia"/>
        </w:rPr>
        <w:t xml:space="preserve">(即1.1.1节所述的双重代价)，并非唯一选择；让硬件直接产生受控的随机性、再以统计平均还原结果，与计算对象的概率本性更为契合。数字范式以电压裕度、纠错与刷新使每个元件近乎完美来换取系统可靠性，把涨落当作须压制的误差；统计路线则以大量不完美元件的统计聚合得到可靠输出，把涨落当作可调用的资源。对目标本身即为统计量、又能容忍近似的负载，后一条路线把器件热涨落由噪声重新定位为熵源，这也是本文的立足点。</w:t>
      </w:r>
    </w:p>
    <w:p>
      <w:pPr>
        <w:pStyle w:val="BodyText"/>
      </w:pPr>
      <w:r>
        <w:rPr>
          <w:rFonts w:hint="eastAsia"/>
        </w:rPr>
        <w:t xml:space="preserve">循此思路，硬件不再承担精确数值，转而承担统计量：运算结果由大量低精度随机事件的统计平均给出，而非由一次高精度确定性运算给出。该思想在早期的随机计算</w:t>
      </w:r>
      <w:r>
        <w:rPr>
          <w:rStyle w:val="FootnoteReference"/>
        </w:rPr>
        <w:footnoteReference w:id="54"/>
      </w:r>
      <w:r>
        <w:rPr>
          <w:rFonts w:hint="eastAsia"/>
        </w:rPr>
        <w:t xml:space="preserve">、退火机与玻尔兹曼机中均可见雏形，近年在概率计算</w:t>
      </w:r>
      <w:r>
        <w:t xml:space="preserve"> (probabilistic computing) </w:t>
      </w:r>
      <w:r>
        <w:rPr>
          <w:rFonts w:hint="eastAsia"/>
        </w:rPr>
        <w:t xml:space="preserve">的框架下得以统一，其核心基本单元为概率比特</w:t>
      </w:r>
      <w:r>
        <w:t xml:space="preserve"> (probabilistic bit, p-bit)</w:t>
      </w:r>
      <w:r>
        <w:rPr>
          <w:rStyle w:val="FootnoteReference"/>
        </w:rPr>
        <w:footnoteReference w:id="56"/>
      </w:r>
      <w:r>
        <w:t xml:space="preserve">。</w:t>
      </w:r>
    </w:p>
    <w:p>
      <w:pPr>
        <w:pStyle w:val="BodyText"/>
      </w:pPr>
      <w:r>
        <w:rPr>
          <w:rFonts w:hint="eastAsia"/>
        </w:rPr>
        <w:t xml:space="preserve">p-bit是一个状态空间为</w:t>
      </w:r>
      <m:oMath>
        <m:r>
          <m:rPr>
            <m:sty m:val="p"/>
          </m:rPr>
          <m:t>{</m:t>
        </m:r>
        <m:r>
          <m:rPr>
            <m:sty m:val="p"/>
          </m:rPr>
          <m:t>+</m:t>
        </m:r>
        <m:r>
          <m:t>1</m:t>
        </m:r>
        <m:r>
          <m:rPr>
            <m:sty m:val="p"/>
          </m:rPr>
          <m:t>,</m:t>
        </m:r>
        <m:r>
          <m:t> </m:t>
        </m:r>
        <m:r>
          <m:rPr>
            <m:sty m:val="p"/>
          </m:rPr>
          <m:t>−</m:t>
        </m:r>
        <m:r>
          <m:t>1</m:t>
        </m:r>
        <m:r>
          <m:rPr>
            <m:sty m:val="p"/>
          </m:rPr>
          <m:t>}</m:t>
        </m:r>
      </m:oMath>
      <w:r>
        <w:rPr>
          <w:rFonts w:hint="eastAsia"/>
        </w:rPr>
        <w:t xml:space="preserve">、但取值概率由输入偏置</w:t>
      </w:r>
      <m:oMath>
        <m:r>
          <m:t>I</m:t>
        </m:r>
      </m:oMath>
      <w:r>
        <w:rPr>
          <w:rFonts w:hint="eastAsia"/>
        </w:rPr>
        <w:t xml:space="preserve">连续调节的受控伯努利随机变量：</w:t>
      </w:r>
    </w:p>
    <w:p>
      <w:pPr>
        <w:pStyle w:val="BodyText"/>
      </w:pPr>
      <m:oMathPara>
        <m:oMathParaPr>
          <m:jc m:val="center"/>
        </m:oMathParaPr>
        <m:oMath>
          <m:r>
            <m:t>P</m:t>
          </m:r>
          <m:r>
            <m:rPr>
              <m:sty m:val="p"/>
            </m:rPr>
            <m:t>(</m:t>
          </m:r>
          <m:r>
            <m:t>s</m:t>
          </m:r>
          <m:r>
            <m:rPr>
              <m:sty m:val="p"/>
            </m:rPr>
            <m:t>=</m:t>
          </m:r>
          <m:r>
            <m:rPr>
              <m:sty m:val="p"/>
            </m:rPr>
            <m:t>+</m:t>
          </m:r>
          <m:r>
            <m:t>1</m:t>
          </m:r>
          <m:r>
            <m:rPr>
              <m:sty m:val="p"/>
            </m:rPr>
            <m:t>∣</m:t>
          </m:r>
          <m:r>
            <m:t>I</m:t>
          </m:r>
          <m:r>
            <m:rPr>
              <m:sty m:val="p"/>
            </m:rPr>
            <m:t>,</m:t>
          </m:r>
          <m:r>
            <m:t>T</m:t>
          </m:r>
          <m:r>
            <m:rPr>
              <m:sty m:val="p"/>
            </m:rPr>
            <m:t>)</m:t>
          </m:r>
          <m:r>
            <m:t> </m:t>
          </m:r>
          <m:r>
            <m:rPr>
              <m:sty m:val="p"/>
            </m:rPr>
            <m:t>=</m:t>
          </m:r>
          <m:r>
            <m:t> </m:t>
          </m:r>
          <m:r>
            <m:t>σ</m:t>
          </m:r>
          <m:r>
            <m:t>​</m:t>
          </m:r>
          <m:d>
            <m:dPr>
              <m:begChr m:val="("/>
              <m:sepChr m:val=""/>
              <m:endChr m:val=")"/>
              <m:grow/>
            </m:dPr>
            <m:e>
              <m:f>
                <m:fPr>
                  <m:type m:val="bar"/>
                </m:fPr>
                <m:num>
                  <m:r>
                    <m:t>I</m:t>
                  </m:r>
                </m:num>
                <m:den>
                  <m:r>
                    <m:t>T</m:t>
                  </m:r>
                </m:den>
              </m:f>
            </m:e>
          </m:d>
          <m:r>
            <m:t> </m:t>
          </m:r>
          <m:r>
            <m:rPr>
              <m:sty m:val="p"/>
            </m:rPr>
            <m:t>=</m:t>
          </m:r>
          <m:r>
            <m:t> </m:t>
          </m:r>
          <m:f>
            <m:fPr>
              <m:type m:val="bar"/>
            </m:fPr>
            <m:num>
              <m:r>
                <m:t>1</m:t>
              </m:r>
            </m:num>
            <m:den>
              <m:r>
                <m:t>1</m:t>
              </m:r>
              <m:r>
                <m:rPr>
                  <m:sty m:val="p"/>
                </m:rPr>
                <m:t>+</m:t>
              </m:r>
              <m:r>
                <m:rPr>
                  <m:sty m:val="p"/>
                </m:rPr>
                <m:t>exp</m:t>
              </m:r>
              <m:r>
                <m:rPr>
                  <m:sty m:val="p"/>
                </m:rPr>
                <m:t>(</m:t>
              </m:r>
              <m:r>
                <m:rPr>
                  <m:sty m:val="p"/>
                </m:rPr>
                <m:t>−</m:t>
              </m:r>
              <m:r>
                <m:t>I</m:t>
              </m:r>
              <m:r>
                <m:rPr>
                  <m:sty m:val="p"/>
                </m:rPr>
                <m:t>/</m:t>
              </m:r>
              <m:r>
                <m:t>T</m:t>
              </m:r>
              <m:r>
                <m:rPr>
                  <m:sty m:val="p"/>
                </m:rPr>
                <m:t>)</m:t>
              </m:r>
            </m:den>
          </m:f>
          <m:r>
            <m:rPr>
              <m:sty m:val="p"/>
            </m:rPr>
            <m:t>,</m:t>
          </m:r>
        </m:oMath>
      </m:oMathPara>
    </w:p>
    <w:p>
      <w:pPr>
        <w:pStyle w:val="FirstParagraph"/>
      </w:pPr>
      <w:r>
        <w:rPr>
          <w:rFonts w:hint="eastAsia"/>
        </w:rPr>
        <w:t xml:space="preserve">其中</w:t>
      </w:r>
      <m:oMath>
        <m:r>
          <m:t>T</m:t>
        </m:r>
      </m:oMath>
      <w:r>
        <w:rPr>
          <w:rFonts w:hint="eastAsia"/>
        </w:rPr>
        <w:t xml:space="preserve">是控制涨落强度的等效温度。该单元的状态以受控概率在</w:t>
      </w:r>
      <m:oMath>
        <m:r>
          <m:rPr>
            <m:sty m:val="p"/>
          </m:rPr>
          <m:t>±</m:t>
        </m:r>
        <m:r>
          <m:t>1</m:t>
        </m:r>
      </m:oMath>
      <w:r>
        <w:rPr>
          <w:rFonts w:hint="eastAsia"/>
        </w:rPr>
        <w:t xml:space="preserve">间随机波动；其在</w:t>
      </w:r>
      <m:oMath>
        <m:r>
          <m:t>I</m:t>
        </m:r>
        <m:r>
          <m:rPr>
            <m:sty m:val="p"/>
          </m:rPr>
          <m:t>→</m:t>
        </m:r>
        <m:r>
          <m:rPr>
            <m:sty m:val="p"/>
          </m:rPr>
          <m:t>+</m:t>
        </m:r>
        <m:r>
          <m:rPr>
            <m:sty m:val="p"/>
          </m:rPr>
          <m:t>∞</m:t>
        </m:r>
      </m:oMath>
      <w:r>
        <w:rPr>
          <w:rFonts w:hint="eastAsia"/>
        </w:rPr>
        <w:t xml:space="preserve">与</w:t>
      </w:r>
      <m:oMath>
        <m:r>
          <m:t>I</m:t>
        </m:r>
        <m:r>
          <m:rPr>
            <m:sty m:val="p"/>
          </m:rPr>
          <m:t>→</m:t>
        </m:r>
        <m:r>
          <m:rPr>
            <m:sty m:val="p"/>
          </m:rPr>
          <m:t>−</m:t>
        </m:r>
        <m:r>
          <m:rPr>
            <m:sty m:val="p"/>
          </m:rPr>
          <m:t>∞</m:t>
        </m:r>
      </m:oMath>
      <w:r>
        <w:rPr>
          <w:rFonts w:hint="eastAsia"/>
        </w:rPr>
        <w:t xml:space="preserve">的极限下分别退化为常规数字逻辑的高低电平，因而直接兼容经典二值信号链路。与只产生固定50%概率随机序列的真随机数发生器</w:t>
      </w:r>
      <w:r>
        <w:t xml:space="preserve"> (TRNG) </w:t>
      </w:r>
      <w:r>
        <w:rPr>
          <w:rFonts w:hint="eastAsia"/>
        </w:rPr>
        <w:t xml:space="preserve">相比，p-bit提供了由输入连续调制概率的能力，这一可控性是其作为随机源的关键属性。与量子比特相比，p-bit基于经典物理的热涨落，室温可用、无退相干问题，易于与现有CMOS工艺集成</w:t>
      </w:r>
      <w:r>
        <w:rPr>
          <w:rStyle w:val="FootnoteReference"/>
        </w:rPr>
        <w:footnoteReference w:id="58"/>
      </w:r>
      <w:r>
        <w:t xml:space="preserve">。</w:t>
      </w:r>
    </w:p>
    <w:p>
      <w:pPr>
        <w:pStyle w:val="BodyText"/>
      </w:pPr>
      <w:r>
        <w:rPr>
          <w:rFonts w:hint="eastAsia"/>
        </w:rPr>
        <w:t xml:space="preserve">概率计算的意义可从两个层次理解。在语义上，它把数值精度从空间维度</w:t>
      </w:r>
      <w:r>
        <w:t xml:space="preserve"> </w:t>
      </w:r>
      <w:r>
        <w:rPr>
          <w:rFonts w:hint="eastAsia"/>
        </w:rPr>
        <w:t xml:space="preserve">(比特位宽)</w:t>
      </w:r>
      <w:r>
        <w:t xml:space="preserve"> </w:t>
      </w:r>
      <w:r>
        <w:rPr>
          <w:rFonts w:hint="eastAsia"/>
        </w:rPr>
        <w:t xml:space="preserve">转移到时间维度</w:t>
      </w:r>
      <w:r>
        <w:t xml:space="preserve"> </w:t>
      </w:r>
      <w:r>
        <w:rPr>
          <w:rFonts w:hint="eastAsia"/>
        </w:rPr>
        <w:t xml:space="preserve">(采样次数)：结果由对单比特随机变量的</w:t>
      </w:r>
      <m:oMath>
        <m:r>
          <m:t>T</m:t>
        </m:r>
      </m:oMath>
      <w:r>
        <w:rPr>
          <w:rFonts w:hint="eastAsia"/>
        </w:rPr>
        <w:t xml:space="preserve">次独立采样平均给出，均方误差按</w:t>
      </w:r>
      <m:oMath>
        <m:r>
          <m:t>O</m:t>
        </m:r>
        <m:r>
          <m:rPr>
            <m:sty m:val="p"/>
          </m:rPr>
          <m:t>(</m:t>
        </m:r>
        <m:r>
          <m:t>1</m:t>
        </m:r>
        <m:r>
          <m:rPr>
            <m:sty m:val="p"/>
          </m:rPr>
          <m:t>/</m:t>
        </m:r>
        <m:r>
          <m:t>T</m:t>
        </m:r>
        <m:r>
          <m:rPr>
            <m:sty m:val="p"/>
          </m:rPr>
          <m:t>)</m:t>
        </m:r>
      </m:oMath>
      <w:r>
        <w:rPr>
          <w:rFonts w:hint="eastAsia"/>
        </w:rPr>
        <w:t xml:space="preserve">衰减，达到</w:t>
      </w:r>
      <m:oMath>
        <m:r>
          <m:t>B</m:t>
        </m:r>
      </m:oMath>
      <w:r>
        <w:rPr>
          <w:rFonts w:hint="eastAsia"/>
        </w:rPr>
        <w:t xml:space="preserve">比特等效精度所需采样次数按</w:t>
      </w:r>
      <m:oMath>
        <m:r>
          <m:t>T</m:t>
        </m:r>
        <m:r>
          <m:rPr>
            <m:sty m:val="p"/>
          </m:rPr>
          <m:t>∼</m:t>
        </m:r>
        <m:sSup>
          <m:e>
            <m:r>
              <m:t>4</m:t>
            </m:r>
          </m:e>
          <m:sup>
            <m:r>
              <m:t>B</m:t>
            </m:r>
          </m:sup>
        </m:sSup>
      </m:oMath>
      <w:r>
        <w:rPr>
          <w:rFonts w:hint="eastAsia"/>
        </w:rPr>
        <w:t xml:space="preserve">增长</w:t>
      </w:r>
      <w:r>
        <w:rPr>
          <w:rStyle w:val="FootnoteReference"/>
        </w:rPr>
        <w:footnoteReference w:id="60"/>
      </w:r>
      <w:r>
        <w:rPr>
          <w:rFonts w:hint="eastAsia"/>
        </w:rPr>
        <w:t xml:space="preserve">。这一换算率同时框定了该路径的适用域：它不适合复现高位宽数值计算，而适合本身只需低等效位宽的统计型负载——随机计算的经典分析同样指出其能量优势集中在低精度区间</w:t>
      </w:r>
      <w:r>
        <w:rPr>
          <w:rStyle w:val="FootnoteReference"/>
        </w:rPr>
        <w:footnoteReference w:id="62"/>
      </w:r>
      <w:r>
        <w:rPr>
          <w:rFonts w:hint="eastAsia"/>
        </w:rPr>
        <w:t xml:space="preserve">。在物理上，这一语义对硬件的需求从高精度乘法器加高带宽访存，转为可调概率的二值单元加计数器；后者可直接利用器件的本征物理属性</w:t>
      </w:r>
      <w:r>
        <w:t xml:space="preserve"> </w:t>
      </w:r>
      <w:r>
        <w:rPr>
          <w:rFonts w:hint="eastAsia"/>
        </w:rPr>
        <w:t xml:space="preserve">(如热涨落)，而前者须以精细的电路设计抑制这类属性</w:t>
      </w:r>
      <w:r>
        <w:t xml:space="preserve"> </w:t>
      </w:r>
      <w:r>
        <w:rPr>
          <w:rFonts w:hint="eastAsia"/>
        </w:rPr>
        <w:t xml:space="preserve">(噪声、偏差)。原本视作缺陷的器件噪声由此被纳入计算的基本资源。</w:t>
      </w:r>
    </w:p>
    <w:p>
      <w:pPr>
        <w:pStyle w:val="BodyText"/>
      </w:pPr>
      <w:r>
        <w:rPr>
          <w:rFonts w:hint="eastAsia"/>
        </w:rPr>
        <w:t xml:space="preserve">在该范式下，1.1.1节所列的开销逐项对应地被压缩：权重在存算阵列中仅以单比特出现，阵列本体无需多比特元胞，存储密度与常规MRAM相当</w:t>
      </w:r>
      <w:r>
        <w:t xml:space="preserve"> </w:t>
      </w:r>
      <w:r>
        <w:rPr>
          <w:rFonts w:hint="eastAsia"/>
        </w:rPr>
        <w:t xml:space="preserve">(分布参数以数字码字存于外围而非阵列内，见第四章)；乘加退化为异或与计数，高分辨列级ADC让位于低分辨读出与计数累加；随机源来自器件本身，专用熵源电路可以省去。三项变化同时发生的根源在于概率取代精度这一计算语义的改变，而非某一具体电路优化的累积。</w:t>
      </w:r>
    </w:p>
    <w:p>
      <w:pPr>
        <w:pStyle w:val="BodyText"/>
      </w:pPr>
      <w:r>
        <w:rPr>
          <w:rFonts w:hint="eastAsia"/>
        </w:rPr>
        <w:t xml:space="preserve">还需指出，在这条以统计代替精度的路径内，器件随机性可被使用的方式有两种，二者都以随机二值事件的统计平均替代高精度运算，区别在于是否保留器件的时域状态。其一为无记忆采样：相邻取样彼此独立，统计平均估计一个静态量，精度由采样次数</w:t>
      </w:r>
      <m:oMath>
        <m:r>
          <m:t>T</m:t>
        </m:r>
      </m:oMath>
      <w:r>
        <w:rPr>
          <w:rFonts w:hint="eastAsia"/>
        </w:rPr>
        <w:t xml:space="preserve">而非比特位宽决定，组合优化的伊辛机</w:t>
      </w:r>
      <w:r>
        <w:t xml:space="preserve"> </w:t>
      </w:r>
      <w:r>
        <w:rPr>
          <w:rFonts w:hint="eastAsia"/>
        </w:rPr>
        <w:t xml:space="preserve">(对局域场决定的平衡态条件分布采样)</w:t>
      </w:r>
      <w:r>
        <w:t xml:space="preserve"> </w:t>
      </w:r>
      <w:r>
        <w:rPr>
          <w:rFonts w:hint="eastAsia"/>
        </w:rPr>
        <w:t xml:space="preserve">与前馈推断的概率二值神经网络</w:t>
      </w:r>
      <w:r>
        <w:t xml:space="preserve"> </w:t>
      </w:r>
      <w:r>
        <w:rPr>
          <w:rFonts w:hint="eastAsia"/>
        </w:rPr>
        <w:t xml:space="preserve">(估计权重期望)</w:t>
      </w:r>
      <w:r>
        <w:t xml:space="preserve"> </w:t>
      </w:r>
      <w:r>
        <w:rPr>
          <w:rFonts w:hint="eastAsia"/>
        </w:rPr>
        <w:t xml:space="preserve">均属此类。其二为有状态动力学：器件磁化在步间保持相关，弛豫过程本身充当记忆，节点读出仍由对随机二值态的窗口平均给出，因而同属统计代替精度，只是时域相关被额外用作计算资源，这正是储备池计算</w:t>
      </w:r>
      <w:r>
        <w:t xml:space="preserve"> (reservoir computing) </w:t>
      </w:r>
      <w:r>
        <w:rPr>
          <w:rFonts w:hint="eastAsia"/>
        </w:rPr>
        <w:t xml:space="preserve">之所依。以概率二值器件作为动力学节点构成的储备池，本文称为概率二值储备池计算</w:t>
      </w:r>
      <w:r>
        <w:t xml:space="preserve"> (probabilistic binary reservoir </w:t>
      </w:r>
      <w:r>
        <w:rPr>
          <w:rFonts w:hint="eastAsia"/>
        </w:rPr>
        <w:t xml:space="preserve">computing)。两种方式共享同一类sMTJ概率二值单元与同一条由随机事件到统计读出的主干，本文据此沿两条路径展开：1.1.3至1.1.6节梳理无记忆采样下的伊辛与PBNN脉络，1.2.3节给出有状态动力学的器件-算法对应，1.2.4节梳理其研究现状，1.3.3节阐明研究动机与本文定位。</w:t>
      </w:r>
    </w:p>
    <w:bookmarkEnd w:id="64"/>
    <w:bookmarkStart w:id="69" w:name="伊辛模型概率二值计算的统一数学框架"/>
    <w:p>
      <w:pPr>
        <w:pStyle w:val="Heading3"/>
      </w:pPr>
      <w:r>
        <w:t xml:space="preserve">1.1.3 </w:t>
      </w:r>
      <w:r>
        <w:rPr>
          <w:rFonts w:hint="eastAsia"/>
        </w:rPr>
        <w:t xml:space="preserve">伊辛模型：概率二值计算的统一数学框架</w:t>
      </w:r>
    </w:p>
    <w:p>
      <w:pPr>
        <w:pStyle w:val="FirstParagraph"/>
      </w:pPr>
      <w:r>
        <w:rPr>
          <w:rFonts w:hint="eastAsia"/>
        </w:rPr>
        <w:t xml:space="preserve">概率二值计算的理论根基是统计物理中的伊辛模型。该模型由Lenz提出、Ising完善用于解释铁磁相变，在现代语境下已成为一大类计算问题的通用表述框架。其基本单元为二值自旋</w:t>
      </w:r>
      <m:oMath>
        <m:sSub>
          <m:e>
            <m:r>
              <m:t>s</m:t>
            </m:r>
          </m:e>
          <m:sub>
            <m:r>
              <m:t>i</m:t>
            </m:r>
          </m:sub>
        </m:sSub>
        <m:r>
          <m:rPr>
            <m:sty m:val="p"/>
          </m:rPr>
          <m:t>∈</m:t>
        </m:r>
        <m:r>
          <m:rPr>
            <m:sty m:val="p"/>
          </m:rPr>
          <m:t>{</m:t>
        </m:r>
        <m:r>
          <m:rPr>
            <m:sty m:val="p"/>
          </m:rPr>
          <m:t>+</m:t>
        </m:r>
        <m:r>
          <m:t>1</m:t>
        </m:r>
        <m:r>
          <m:rPr>
            <m:sty m:val="p"/>
          </m:rPr>
          <m:t>,</m:t>
        </m:r>
        <m:r>
          <m:t> </m:t>
        </m:r>
        <m:r>
          <m:rPr>
            <m:sty m:val="p"/>
          </m:rPr>
          <m:t>−</m:t>
        </m:r>
        <m:r>
          <m:t>1</m:t>
        </m:r>
        <m:r>
          <m:rPr>
            <m:sty m:val="p"/>
          </m:rPr>
          <m:t>}</m:t>
        </m:r>
      </m:oMath>
      <w:r>
        <w:rPr>
          <w:rFonts w:hint="eastAsia"/>
        </w:rPr>
        <w:t xml:space="preserve">，系统总能量由哈密顿量</w:t>
      </w:r>
    </w:p>
    <w:p>
      <w:pPr>
        <w:pStyle w:val="BodyText"/>
      </w:pPr>
      <m:oMathPara>
        <m:oMathParaPr>
          <m:jc m:val="center"/>
        </m:oMathParaPr>
        <m:oMath>
          <m:r>
            <m:t>H</m:t>
          </m:r>
          <m:r>
            <m:rPr>
              <m:sty m:val="p"/>
            </m:rPr>
            <m:t>(</m:t>
          </m:r>
          <m:r>
            <m:rPr>
              <m:sty m:val="p"/>
            </m:rPr>
            <m:t>{</m:t>
          </m:r>
          <m:sSub>
            <m:e>
              <m:r>
                <m:t>s</m:t>
              </m:r>
            </m:e>
            <m:sub>
              <m:r>
                <m:t>i</m:t>
              </m:r>
            </m:sub>
          </m:sSub>
          <m:r>
            <m:rPr>
              <m:sty m:val="p"/>
            </m:rPr>
            <m:t>}</m:t>
          </m:r>
          <m:r>
            <m:rPr>
              <m:sty m:val="p"/>
            </m:rPr>
            <m:t>)</m:t>
          </m:r>
          <m:r>
            <m:t> </m:t>
          </m:r>
          <m:r>
            <m:rPr>
              <m:sty m:val="p"/>
            </m:rPr>
            <m:t>=</m:t>
          </m:r>
          <m:r>
            <m:t> </m:t>
          </m:r>
          <m:r>
            <m:rPr>
              <m:sty m:val="p"/>
            </m:rPr>
            <m:t>−</m:t>
          </m:r>
          <m:f>
            <m:fPr>
              <m:type m:val="lin"/>
            </m:fPr>
            <m:num>
              <m:r>
                <m:t>1</m:t>
              </m:r>
            </m:num>
            <m:den>
              <m:r>
                <m:t>2</m:t>
              </m:r>
            </m:den>
          </m:f>
          <m:nary>
            <m:naryPr>
              <m:chr m:val="∑"/>
              <m:limLoc m:val="undOvr"/>
              <m:subHide m:val="off"/>
              <m:supHide m:val="on"/>
            </m:naryPr>
            <m:sub>
              <m:r>
                <m:t>i</m:t>
              </m:r>
              <m:r>
                <m:rPr>
                  <m:sty m:val="p"/>
                </m:rPr>
                <m:t>,</m:t>
              </m:r>
              <m:r>
                <m:t>j</m:t>
              </m:r>
            </m:sub>
            <m:sup>
              <m:r>
                <m:t>​</m:t>
              </m:r>
            </m:sup>
            <m:e>
              <m:sSub>
                <m:e>
                  <m:r>
                    <m:t>J</m:t>
                  </m:r>
                </m:e>
                <m:sub>
                  <m:r>
                    <m:t>i</m:t>
                  </m:r>
                  <m:r>
                    <m:t>j</m:t>
                  </m:r>
                </m:sub>
              </m:sSub>
            </m:e>
          </m:nary>
          <m:r>
            <m:t> </m:t>
          </m:r>
          <m:sSub>
            <m:e>
              <m:r>
                <m:t>s</m:t>
              </m:r>
            </m:e>
            <m:sub>
              <m:r>
                <m:t>i</m:t>
              </m:r>
            </m:sub>
          </m:sSub>
          <m:sSub>
            <m:e>
              <m:r>
                <m:t>s</m:t>
              </m:r>
            </m:e>
            <m:sub>
              <m:r>
                <m:t>j</m:t>
              </m:r>
            </m:sub>
          </m:sSub>
          <m:r>
            <m:t> </m:t>
          </m:r>
          <m:r>
            <m:rPr>
              <m:sty m:val="p"/>
            </m:rPr>
            <m:t>−</m:t>
          </m:r>
          <m:r>
            <m:t> </m:t>
          </m:r>
          <m:nary>
            <m:naryPr>
              <m:chr m:val="∑"/>
              <m:limLoc m:val="undOvr"/>
              <m:subHide m:val="off"/>
              <m:supHide m:val="on"/>
            </m:naryPr>
            <m:sub>
              <m:r>
                <m:t>i</m:t>
              </m:r>
            </m:sub>
            <m:sup>
              <m:r>
                <m:t>​</m:t>
              </m:r>
            </m:sup>
            <m:e>
              <m:sSub>
                <m:e>
                  <m:r>
                    <m:t>h</m:t>
                  </m:r>
                </m:e>
                <m:sub>
                  <m:r>
                    <m:t>i</m:t>
                  </m:r>
                </m:sub>
              </m:sSub>
            </m:e>
          </m:nary>
          <m:r>
            <m:t> </m:t>
          </m:r>
          <m:sSub>
            <m:e>
              <m:r>
                <m:t>s</m:t>
              </m:r>
            </m:e>
            <m:sub>
              <m:r>
                <m:t>i</m:t>
              </m:r>
            </m:sub>
          </m:sSub>
        </m:oMath>
      </m:oMathPara>
    </w:p>
    <w:p>
      <w:pPr>
        <w:pStyle w:val="FirstParagraph"/>
      </w:pPr>
      <w:r>
        <w:rPr>
          <w:rFonts w:hint="eastAsia"/>
        </w:rPr>
        <w:t xml:space="preserve">描述，其中</w:t>
      </w:r>
      <m:oMath>
        <m:sSub>
          <m:e>
            <m:r>
              <m:t>J</m:t>
            </m:r>
          </m:e>
          <m:sub>
            <m:r>
              <m:t>i</m:t>
            </m:r>
            <m:r>
              <m:t>j</m:t>
            </m:r>
          </m:sub>
        </m:sSub>
      </m:oMath>
      <w:r>
        <w:rPr>
          <w:rFonts w:hint="eastAsia"/>
        </w:rPr>
        <w:t xml:space="preserve">为自旋间的耦合权重、</w:t>
      </w:r>
      <m:oMath>
        <m:sSub>
          <m:e>
            <m:r>
              <m:t>h</m:t>
            </m:r>
          </m:e>
          <m:sub>
            <m:r>
              <m:t>i</m:t>
            </m:r>
          </m:sub>
        </m:sSub>
      </m:oMath>
      <w:r>
        <w:rPr>
          <w:rFonts w:hint="eastAsia"/>
        </w:rPr>
        <w:t xml:space="preserve">为单个自旋所受外场偏置。在温度</w:t>
      </w:r>
      <m:oMath>
        <m:r>
          <m:t>T</m:t>
        </m:r>
      </m:oMath>
      <w:r>
        <w:rPr>
          <w:rFonts w:hint="eastAsia"/>
        </w:rPr>
        <w:t xml:space="preserve">下系统处于给定构型的概率严格服从玻尔兹曼分布</w:t>
      </w:r>
    </w:p>
    <w:p>
      <w:pPr>
        <w:pStyle w:val="BodyText"/>
      </w:pPr>
      <m:oMathPara>
        <m:oMathParaPr>
          <m:jc m:val="center"/>
        </m:oMathParaPr>
        <m:oMath>
          <m:r>
            <m:t>P</m:t>
          </m:r>
          <m:r>
            <m:rPr>
              <m:sty m:val="p"/>
            </m:rPr>
            <m:t>(</m:t>
          </m:r>
          <m:r>
            <m:rPr>
              <m:sty m:val="p"/>
            </m:rPr>
            <m:t>{</m:t>
          </m:r>
          <m:sSub>
            <m:e>
              <m:r>
                <m:t>s</m:t>
              </m:r>
            </m:e>
            <m:sub>
              <m:r>
                <m:t>i</m:t>
              </m:r>
            </m:sub>
          </m:sSub>
          <m:r>
            <m:rPr>
              <m:sty m:val="p"/>
            </m:rPr>
            <m:t>}</m:t>
          </m:r>
          <m:r>
            <m:rPr>
              <m:sty m:val="p"/>
            </m:rPr>
            <m:t>)</m:t>
          </m:r>
          <m:r>
            <m:t> </m:t>
          </m:r>
          <m:r>
            <m:rPr>
              <m:sty m:val="p"/>
            </m:rPr>
            <m:t>=</m:t>
          </m:r>
          <m:r>
            <m:t> </m:t>
          </m:r>
          <m:f>
            <m:fPr>
              <m:type m:val="bar"/>
            </m:fPr>
            <m:num>
              <m:r>
                <m:t>1</m:t>
              </m:r>
            </m:num>
            <m:den>
              <m:r>
                <m:t>Z</m:t>
              </m:r>
            </m:den>
          </m:f>
          <m:r>
            <m:rPr>
              <m:sty m:val="p"/>
            </m:rPr>
            <m:t>exp</m:t>
          </m:r>
          <m:r>
            <m:t>​</m:t>
          </m:r>
          <m:d>
            <m:dPr>
              <m:begChr m:val="("/>
              <m:sepChr m:val=""/>
              <m:endChr m:val=")"/>
              <m:grow/>
            </m:dPr>
            <m:e>
              <m:r>
                <m:rPr>
                  <m:sty m:val="p"/>
                </m:rPr>
                <m:t>−</m:t>
              </m:r>
              <m:f>
                <m:fPr>
                  <m:type m:val="bar"/>
                </m:fPr>
                <m:num>
                  <m:r>
                    <m:t>H</m:t>
                  </m:r>
                  <m:r>
                    <m:rPr>
                      <m:sty m:val="p"/>
                    </m:rPr>
                    <m:t>(</m:t>
                  </m:r>
                  <m:r>
                    <m:rPr>
                      <m:sty m:val="p"/>
                    </m:rPr>
                    <m:t>{</m:t>
                  </m:r>
                  <m:sSub>
                    <m:e>
                      <m:r>
                        <m:t>s</m:t>
                      </m:r>
                    </m:e>
                    <m:sub>
                      <m:r>
                        <m:t>i</m:t>
                      </m:r>
                    </m:sub>
                  </m:sSub>
                  <m:r>
                    <m:rPr>
                      <m:sty m:val="p"/>
                    </m:rPr>
                    <m:t>}</m:t>
                  </m:r>
                  <m:r>
                    <m:rPr>
                      <m:sty m:val="p"/>
                    </m:rPr>
                    <m:t>)</m:t>
                  </m:r>
                </m:num>
                <m:den>
                  <m:sSub>
                    <m:e>
                      <m:r>
                        <m:t>k</m:t>
                      </m:r>
                    </m:e>
                    <m:sub>
                      <m:r>
                        <m:rPr>
                          <m:sty m:val="p"/>
                        </m:rPr>
                        <m:t>B</m:t>
                      </m:r>
                    </m:sub>
                  </m:sSub>
                  <m:r>
                    <m:t>T</m:t>
                  </m:r>
                </m:den>
              </m:f>
            </m:e>
          </m:d>
          <m:r>
            <m:rPr>
              <m:sty m:val="p"/>
            </m:rPr>
            <m:t>,</m:t>
          </m:r>
        </m:oMath>
      </m:oMathPara>
    </w:p>
    <w:p>
      <w:pPr>
        <w:pStyle w:val="FirstParagraph"/>
      </w:pPr>
      <w:r>
        <w:rPr>
          <w:rFonts w:hint="eastAsia"/>
        </w:rPr>
        <w:t xml:space="preserve">即能量越低的构型出现概率越高；高温下涨落占主导、系统探索构型空间以避免陷入局部极小，低温下能量主导、系统收敛至基态。从高温至低温的降温过程正是模拟退火算法的物理本源。</w:t>
      </w:r>
    </w:p>
    <w:p>
      <w:pPr>
        <w:pStyle w:val="BodyText"/>
      </w:pPr>
      <w:r>
        <w:rPr>
          <w:rFonts w:hint="eastAsia"/>
        </w:rPr>
        <w:t xml:space="preserve">该模型成为概率二值计算的统一框架，源于其数学结构、硬件对接与应用覆盖三方面的会聚。计算通用性方面，众多NP难组合优化问题</w:t>
      </w:r>
      <w:r>
        <w:t xml:space="preserve"> </w:t>
      </w:r>
      <w:r>
        <w:rPr>
          <w:rFonts w:hint="eastAsia"/>
        </w:rPr>
        <w:t xml:space="preserve">(Max-Cut、TSP、SAT等)</w:t>
      </w:r>
      <w:r>
        <w:t xml:space="preserve"> </w:t>
      </w:r>
      <w:r>
        <w:rPr>
          <w:rFonts w:hint="eastAsia"/>
        </w:rPr>
        <w:t xml:space="preserve">均可多项式时间映射为伊辛哈密顿量的最小化问题</w:t>
      </w:r>
      <w:r>
        <w:rPr>
          <w:rStyle w:val="FootnoteReference"/>
        </w:rPr>
        <w:footnoteReference w:id="65"/>
      </w:r>
      <w:r>
        <w:rPr>
          <w:rFonts w:hint="eastAsia"/>
        </w:rPr>
        <w:t xml:space="preserve">，整数分解等困难问题亦可写成同一形式</w:t>
      </w:r>
      <w:r>
        <w:rPr>
          <w:rStyle w:val="FootnoteReference"/>
        </w:rPr>
        <w:footnoteReference w:id="67"/>
      </w:r>
      <w:r>
        <w:rPr>
          <w:rFonts w:hint="eastAsia"/>
        </w:rPr>
        <w:t xml:space="preserve">；玻尔兹曼机、贝叶斯网络、受限玻尔兹曼机等概率机器学习模型在结构上本就是伊辛模型的特例或变形。Gibbs采样格式则与p-bit的更新规律精确等价：固定其余自旋</w:t>
      </w:r>
      <m:oMath>
        <m:r>
          <m:rPr>
            <m:sty m:val="p"/>
          </m:rPr>
          <m:t>{</m:t>
        </m:r>
        <m:sSub>
          <m:e>
            <m:r>
              <m:t>s</m:t>
            </m:r>
          </m:e>
          <m:sub>
            <m:r>
              <m:t>j</m:t>
            </m:r>
          </m:sub>
        </m:sSub>
        <m:sSub>
          <m:e>
            <m:r>
              <m:rPr>
                <m:sty m:val="p"/>
              </m:rPr>
              <m:t>}</m:t>
            </m:r>
          </m:e>
          <m:sub>
            <m:r>
              <m:t>j</m:t>
            </m:r>
            <m:r>
              <m:rPr>
                <m:sty m:val="p"/>
              </m:rPr>
              <m:t>≠</m:t>
            </m:r>
            <m:r>
              <m:t>i</m:t>
            </m:r>
          </m:sub>
        </m:sSub>
      </m:oMath>
      <w:r>
        <w:rPr>
          <w:rFonts w:hint="eastAsia"/>
        </w:rPr>
        <w:t xml:space="preserve">，自旋</w:t>
      </w:r>
      <m:oMath>
        <m:sSub>
          <m:e>
            <m:r>
              <m:t>s</m:t>
            </m:r>
          </m:e>
          <m:sub>
            <m:r>
              <m:t>i</m:t>
            </m:r>
          </m:sub>
        </m:sSub>
      </m:oMath>
      <w:r>
        <w:rPr>
          <w:rFonts w:hint="eastAsia"/>
        </w:rPr>
        <w:t xml:space="preserve">所受局域场为</w:t>
      </w:r>
      <m:oMath>
        <m:sSub>
          <m:e>
            <m:r>
              <m:t>I</m:t>
            </m:r>
          </m:e>
          <m:sub>
            <m:r>
              <m:t>i</m:t>
            </m:r>
          </m:sub>
        </m:sSub>
        <m:r>
          <m:rPr>
            <m:sty m:val="p"/>
          </m:rPr>
          <m:t>=</m:t>
        </m:r>
        <m:nary>
          <m:naryPr>
            <m:chr m:val="∑"/>
            <m:limLoc m:val="undOvr"/>
            <m:subHide m:val="off"/>
            <m:supHide m:val="on"/>
          </m:naryPr>
          <m:sub>
            <m:r>
              <m:t>j</m:t>
            </m:r>
          </m:sub>
          <m:sup>
            <m:r>
              <m:t>​</m:t>
            </m:r>
          </m:sup>
          <m:e>
            <m:sSub>
              <m:e>
                <m:r>
                  <m:t>J</m:t>
                </m:r>
              </m:e>
              <m:sub>
                <m:r>
                  <m:t>i</m:t>
                </m:r>
                <m:r>
                  <m:t>j</m:t>
                </m:r>
              </m:sub>
            </m:sSub>
          </m:e>
        </m:nary>
        <m:sSub>
          <m:e>
            <m:r>
              <m:t>s</m:t>
            </m:r>
          </m:e>
          <m:sub>
            <m:r>
              <m:t>j</m:t>
            </m:r>
          </m:sub>
        </m:sSub>
        <m:r>
          <m:rPr>
            <m:sty m:val="p"/>
          </m:rPr>
          <m:t>+</m:t>
        </m:r>
        <m:sSub>
          <m:e>
            <m:r>
              <m:t>h</m:t>
            </m:r>
          </m:e>
          <m:sub>
            <m:r>
              <m:t>i</m:t>
            </m:r>
          </m:sub>
        </m:sSub>
      </m:oMath>
      <w:r>
        <w:rPr>
          <w:rFonts w:hint="eastAsia"/>
        </w:rPr>
        <w:t xml:space="preserve">，由玻尔兹曼分布可直接推得</w:t>
      </w:r>
    </w:p>
    <w:p>
      <w:pPr>
        <w:pStyle w:val="BodyText"/>
      </w:pPr>
      <m:oMathPara>
        <m:oMathParaPr>
          <m:jc m:val="center"/>
        </m:oMathParaPr>
        <m:oMath>
          <m:r>
            <m:t>P</m:t>
          </m:r>
          <m:r>
            <m:rPr>
              <m:sty m:val="p"/>
            </m:rPr>
            <m:t>(</m:t>
          </m:r>
          <m:sSub>
            <m:e>
              <m:r>
                <m:t>s</m:t>
              </m:r>
            </m:e>
            <m:sub>
              <m:r>
                <m:t>i</m:t>
              </m:r>
            </m:sub>
          </m:sSub>
          <m:r>
            <m:rPr>
              <m:sty m:val="p"/>
            </m:rPr>
            <m:t>=</m:t>
          </m:r>
          <m:r>
            <m:rPr>
              <m:sty m:val="p"/>
            </m:rPr>
            <m:t>+</m:t>
          </m:r>
          <m:r>
            <m:t>1</m:t>
          </m:r>
          <m:r>
            <m:rPr>
              <m:sty m:val="p"/>
            </m:rPr>
            <m:t>∣</m:t>
          </m:r>
          <m:r>
            <m:rPr>
              <m:sty m:val="p"/>
            </m:rPr>
            <m:t>{</m:t>
          </m:r>
          <m:sSub>
            <m:e>
              <m:r>
                <m:t>s</m:t>
              </m:r>
            </m:e>
            <m:sub>
              <m:r>
                <m:t>j</m:t>
              </m:r>
              <m:r>
                <m:rPr>
                  <m:sty m:val="p"/>
                </m:rPr>
                <m:t>≠</m:t>
              </m:r>
              <m:r>
                <m:t>i</m:t>
              </m:r>
            </m:sub>
          </m:sSub>
          <m:r>
            <m:rPr>
              <m:sty m:val="p"/>
            </m:rPr>
            <m:t>}</m:t>
          </m:r>
          <m:r>
            <m:rPr>
              <m:sty m:val="p"/>
            </m:rPr>
            <m:t>)</m:t>
          </m:r>
          <m:r>
            <m:t> </m:t>
          </m:r>
          <m:r>
            <m:rPr>
              <m:sty m:val="p"/>
            </m:rPr>
            <m:t>=</m:t>
          </m:r>
          <m:r>
            <m:t> </m:t>
          </m:r>
          <m:r>
            <m:t>σ</m:t>
          </m:r>
          <m:r>
            <m:t>​</m:t>
          </m:r>
          <m:d>
            <m:dPr>
              <m:begChr m:val="("/>
              <m:sepChr m:val=""/>
              <m:endChr m:val=")"/>
              <m:grow/>
            </m:dPr>
            <m:e>
              <m:f>
                <m:fPr>
                  <m:type m:val="bar"/>
                </m:fPr>
                <m:num>
                  <m:r>
                    <m:t>2</m:t>
                  </m:r>
                  <m:sSub>
                    <m:e>
                      <m:r>
                        <m:t>I</m:t>
                      </m:r>
                    </m:e>
                    <m:sub>
                      <m:r>
                        <m:t>i</m:t>
                      </m:r>
                    </m:sub>
                  </m:sSub>
                </m:num>
                <m:den>
                  <m:sSub>
                    <m:e>
                      <m:r>
                        <m:t>k</m:t>
                      </m:r>
                    </m:e>
                    <m:sub>
                      <m:r>
                        <m:rPr>
                          <m:sty m:val="p"/>
                        </m:rPr>
                        <m:t>B</m:t>
                      </m:r>
                    </m:sub>
                  </m:sSub>
                  <m:r>
                    <m:t>T</m:t>
                  </m:r>
                </m:den>
              </m:f>
            </m:e>
          </m:d>
          <m:r>
            <m:rPr>
              <m:sty m:val="p"/>
            </m:rPr>
            <m:t>,</m:t>
          </m:r>
        </m:oMath>
      </m:oMathPara>
    </w:p>
    <w:p>
      <w:pPr>
        <w:pStyle w:val="FirstParagraph"/>
      </w:pPr>
      <w:r>
        <w:rPr>
          <w:rFonts w:hint="eastAsia"/>
        </w:rPr>
        <w:t xml:space="preserve">其形式与p-bit的受控伯努利分布完全一致；一个p-bit在硬件上完成的恰是伊辛模型中单个自旋的条件采样，p-bit阵列的并行演化即Gibbs采样的原生硬件化。应用覆盖上，伊辛模型同时容纳组合优化</w:t>
      </w:r>
      <w:r>
        <w:t xml:space="preserve"> </w:t>
      </w:r>
      <w:r>
        <w:rPr>
          <w:rFonts w:hint="eastAsia"/>
        </w:rPr>
        <w:t xml:space="preserve">(以哈密顿量最小化为目标)</w:t>
      </w:r>
      <w:r>
        <w:t xml:space="preserve"> </w:t>
      </w:r>
      <w:r>
        <w:rPr>
          <w:rFonts w:hint="eastAsia"/>
        </w:rPr>
        <w:t xml:space="preserve">与机器学习</w:t>
      </w:r>
      <w:r>
        <w:t xml:space="preserve"> </w:t>
      </w:r>
      <w:r>
        <w:rPr>
          <w:rFonts w:hint="eastAsia"/>
        </w:rPr>
        <w:t xml:space="preserve">(以玻尔兹曼分布建模数据分布)，因而概率二值硬件可在同一物理架构下承担这两类传统上分离的任务，无需在电路结构上作本质区分。</w:t>
      </w:r>
    </w:p>
    <w:p>
      <w:pPr>
        <w:pStyle w:val="BodyText"/>
      </w:pPr>
      <w:r>
        <w:rPr>
          <w:rFonts w:hint="eastAsia"/>
        </w:rPr>
        <w:t xml:space="preserve">至此可建立从上至下的对应链：概率二值计算范式对应伊辛模型作为数学框架，伊辛模型对应p-bit作为最小功能单元，p-bit对应具体物理载体</w:t>
      </w:r>
      <w:r>
        <w:t xml:space="preserve"> </w:t>
      </w:r>
      <w:r>
        <w:rPr>
          <w:rFonts w:hint="eastAsia"/>
        </w:rPr>
        <w:t xml:space="preserve">(CMOS、sMTJ、RRAM等)。这一四层结构既解释了为何概率二值计算内在适配NP难优化与概率推断，也框定了其硬件设计的目标函数。下一节先沿这条主线追溯第二、第三层</w:t>
      </w:r>
      <w:r>
        <w:t xml:space="preserve"> </w:t>
      </w:r>
      <w:r>
        <w:rPr>
          <w:rFonts w:hint="eastAsia"/>
        </w:rPr>
        <w:t xml:space="preserve">(伊辛与p-bit)</w:t>
      </w:r>
      <w:r>
        <w:t xml:space="preserve"> </w:t>
      </w:r>
      <w:r>
        <w:rPr>
          <w:rFonts w:hint="eastAsia"/>
        </w:rPr>
        <w:t xml:space="preserve">的概念脉络如何从1980年代的Hopfield网络与玻尔兹曼机一脉相承地发展而来，再回到具体物理载体的实现路径。</w:t>
      </w:r>
    </w:p>
    <w:bookmarkEnd w:id="69"/>
    <w:bookmarkStart w:id="101" w:name="从伊辛模型到pbnn二值随机模型的演化脉络"/>
    <w:p>
      <w:pPr>
        <w:pStyle w:val="Heading3"/>
      </w:pPr>
      <w:r>
        <w:t xml:space="preserve">1.1.4 </w:t>
      </w:r>
      <w:r>
        <w:rPr>
          <w:rFonts w:hint="eastAsia"/>
        </w:rPr>
        <w:t xml:space="preserve">从伊辛模型到PBNN：二值随机模型的演化脉络</w:t>
      </w:r>
    </w:p>
    <w:p>
      <w:pPr>
        <w:pStyle w:val="FirstParagraph"/>
      </w:pPr>
      <w:r>
        <w:rPr>
          <w:rFonts w:hint="eastAsia"/>
        </w:rPr>
        <w:t xml:space="preserve">伊辛模型作为信息处理装置的范式始于Hopfield</w:t>
      </w:r>
      <w:r>
        <w:t xml:space="preserve"> </w:t>
      </w:r>
      <w:r>
        <w:rPr>
          <w:rFonts w:hint="eastAsia"/>
        </w:rPr>
        <w:t xml:space="preserve">1982年提出的递归神经网络</w:t>
      </w:r>
      <w:r>
        <w:rPr>
          <w:rStyle w:val="FootnoteReference"/>
        </w:rPr>
        <w:footnoteReference w:id="70"/>
      </w:r>
      <w:r>
        <w:rPr>
          <w:rFonts w:hint="eastAsia"/>
        </w:rPr>
        <w:t xml:space="preserve">。Hopfield网络由</w:t>
      </w:r>
      <m:oMath>
        <m:r>
          <m:t>N</m:t>
        </m:r>
      </m:oMath>
      <w:r>
        <w:rPr>
          <w:rFonts w:hint="eastAsia"/>
        </w:rPr>
        <w:t xml:space="preserve">个二值神经元</w:t>
      </w:r>
      <m:oMath>
        <m:sSub>
          <m:e>
            <m:r>
              <m:t>s</m:t>
            </m:r>
          </m:e>
          <m:sub>
            <m:r>
              <m:t>i</m:t>
            </m:r>
          </m:sub>
        </m:sSub>
        <m:r>
          <m:rPr>
            <m:sty m:val="p"/>
          </m:rPr>
          <m:t>∈</m:t>
        </m:r>
        <m:r>
          <m:rPr>
            <m:sty m:val="p"/>
          </m:rPr>
          <m:t>{</m:t>
        </m:r>
        <m:r>
          <m:rPr>
            <m:sty m:val="p"/>
          </m:rPr>
          <m:t>−</m:t>
        </m:r>
        <m:r>
          <m:t>1</m:t>
        </m:r>
        <m:r>
          <m:rPr>
            <m:sty m:val="p"/>
          </m:rPr>
          <m:t>,</m:t>
        </m:r>
        <m:r>
          <m:t> </m:t>
        </m:r>
        <m:r>
          <m:rPr>
            <m:sty m:val="p"/>
          </m:rPr>
          <m:t>+</m:t>
        </m:r>
        <m:r>
          <m:t>1</m:t>
        </m:r>
        <m:r>
          <m:rPr>
            <m:sty m:val="p"/>
          </m:rPr>
          <m:t>}</m:t>
        </m:r>
      </m:oMath>
      <w:r>
        <w:rPr>
          <w:rFonts w:hint="eastAsia"/>
        </w:rPr>
        <w:t xml:space="preserve">与对称权重矩阵</w:t>
      </w:r>
      <m:oMath>
        <m:sSub>
          <m:e>
            <m:r>
              <m:t>J</m:t>
            </m:r>
          </m:e>
          <m:sub>
            <m:r>
              <m:t>i</m:t>
            </m:r>
            <m:r>
              <m:t>j</m:t>
            </m:r>
          </m:sub>
        </m:sSub>
        <m:r>
          <m:rPr>
            <m:sty m:val="p"/>
          </m:rPr>
          <m:t>=</m:t>
        </m:r>
        <m:sSub>
          <m:e>
            <m:r>
              <m:t>J</m:t>
            </m:r>
          </m:e>
          <m:sub>
            <m:r>
              <m:t>j</m:t>
            </m:r>
            <m:r>
              <m:t>i</m:t>
            </m:r>
          </m:sub>
        </m:sSub>
      </m:oMath>
      <w:r>
        <w:t xml:space="preserve">、</w:t>
      </w:r>
      <m:oMath>
        <m:sSub>
          <m:e>
            <m:r>
              <m:t>J</m:t>
            </m:r>
          </m:e>
          <m:sub>
            <m:r>
              <m:t>i</m:t>
            </m:r>
            <m:r>
              <m:t>i</m:t>
            </m:r>
          </m:sub>
        </m:sSub>
        <m:r>
          <m:rPr>
            <m:sty m:val="p"/>
          </m:rPr>
          <m:t>=</m:t>
        </m:r>
        <m:r>
          <m:t>0</m:t>
        </m:r>
      </m:oMath>
      <w:r>
        <w:rPr>
          <w:rFonts w:hint="eastAsia"/>
        </w:rPr>
        <w:t xml:space="preserve">构成，能量函数与伊辛模型完全一致</w:t>
      </w:r>
    </w:p>
    <w:p>
      <w:pPr>
        <w:pStyle w:val="BodyText"/>
      </w:pPr>
      <m:oMathPara>
        <m:oMathParaPr>
          <m:jc m:val="center"/>
        </m:oMathParaPr>
        <m:oMath>
          <m:r>
            <m:t>E</m:t>
          </m:r>
          <m:r>
            <m:rPr>
              <m:sty m:val="p"/>
            </m:rPr>
            <m:t>(</m:t>
          </m:r>
          <m:r>
            <m:rPr>
              <m:sty m:val="bi"/>
            </m:rPr>
            <m:t>s</m:t>
          </m:r>
          <m:r>
            <m:rPr>
              <m:sty m:val="p"/>
            </m:rPr>
            <m:t>)</m:t>
          </m:r>
          <m:r>
            <m:t> </m:t>
          </m:r>
          <m:r>
            <m:rPr>
              <m:sty m:val="p"/>
            </m:rPr>
            <m:t>=</m:t>
          </m:r>
          <m:r>
            <m:t> </m:t>
          </m:r>
          <m:r>
            <m:rPr>
              <m:sty m:val="p"/>
            </m:rPr>
            <m:t>−</m:t>
          </m:r>
          <m:f>
            <m:fPr>
              <m:type m:val="lin"/>
            </m:fPr>
            <m:num>
              <m:r>
                <m:t>1</m:t>
              </m:r>
            </m:num>
            <m:den>
              <m:r>
                <m:t>2</m:t>
              </m:r>
            </m:den>
          </m:f>
          <m:nary>
            <m:naryPr>
              <m:chr m:val="∑"/>
              <m:limLoc m:val="undOvr"/>
              <m:subHide m:val="off"/>
              <m:supHide m:val="on"/>
            </m:naryPr>
            <m:sub>
              <m:r>
                <m:t>i</m:t>
              </m:r>
              <m:r>
                <m:rPr>
                  <m:sty m:val="p"/>
                </m:rPr>
                <m:t>≠</m:t>
              </m:r>
              <m:r>
                <m:t>j</m:t>
              </m:r>
            </m:sub>
            <m:sup>
              <m:r>
                <m:t>​</m:t>
              </m:r>
            </m:sup>
            <m:e>
              <m:sSub>
                <m:e>
                  <m:r>
                    <m:t>J</m:t>
                  </m:r>
                </m:e>
                <m:sub>
                  <m:r>
                    <m:t>i</m:t>
                  </m:r>
                  <m:r>
                    <m:t>j</m:t>
                  </m:r>
                </m:sub>
              </m:sSub>
            </m:e>
          </m:nary>
          <m:r>
            <m:t> </m:t>
          </m:r>
          <m:sSub>
            <m:e>
              <m:r>
                <m:t>s</m:t>
              </m:r>
            </m:e>
            <m:sub>
              <m:r>
                <m:t>i</m:t>
              </m:r>
            </m:sub>
          </m:sSub>
          <m:sSub>
            <m:e>
              <m:r>
                <m:t>s</m:t>
              </m:r>
            </m:e>
            <m:sub>
              <m:r>
                <m:t>j</m:t>
              </m:r>
            </m:sub>
          </m:sSub>
          <m:r>
            <m:t> </m:t>
          </m:r>
          <m:r>
            <m:rPr>
              <m:sty m:val="p"/>
            </m:rPr>
            <m:t>−</m:t>
          </m:r>
          <m:r>
            <m:t> </m:t>
          </m:r>
          <m:nary>
            <m:naryPr>
              <m:chr m:val="∑"/>
              <m:limLoc m:val="undOvr"/>
              <m:subHide m:val="off"/>
              <m:supHide m:val="on"/>
            </m:naryPr>
            <m:sub>
              <m:r>
                <m:t>i</m:t>
              </m:r>
            </m:sub>
            <m:sup>
              <m:r>
                <m:t>​</m:t>
              </m:r>
            </m:sup>
            <m:e>
              <m:sSub>
                <m:e>
                  <m:r>
                    <m:t>θ</m:t>
                  </m:r>
                </m:e>
                <m:sub>
                  <m:r>
                    <m:t>i</m:t>
                  </m:r>
                </m:sub>
              </m:sSub>
            </m:e>
          </m:nary>
          <m:r>
            <m:t> </m:t>
          </m:r>
          <m:sSub>
            <m:e>
              <m:r>
                <m:t>s</m:t>
              </m:r>
            </m:e>
            <m:sub>
              <m:r>
                <m:t>i</m:t>
              </m:r>
            </m:sub>
          </m:sSub>
          <m:r>
            <m:rPr>
              <m:sty m:val="p"/>
            </m:rPr>
            <m:t>,</m:t>
          </m:r>
        </m:oMath>
      </m:oMathPara>
    </w:p>
    <w:p>
      <w:pPr>
        <w:pStyle w:val="FirstParagraph"/>
      </w:pPr>
      <w:r>
        <w:rPr>
          <w:rFonts w:hint="eastAsia"/>
        </w:rPr>
        <w:t xml:space="preserve">但更新规则为确定性符号函数</w:t>
      </w:r>
    </w:p>
    <w:p>
      <w:pPr>
        <w:pStyle w:val="BodyText"/>
      </w:pPr>
      <m:oMathPara>
        <m:oMathParaPr>
          <m:jc m:val="center"/>
        </m:oMathParaPr>
        <m:oMath>
          <m:sSub>
            <m:e>
              <m:r>
                <m:t>s</m:t>
              </m:r>
            </m:e>
            <m:sub>
              <m:r>
                <m:t>i</m:t>
              </m:r>
            </m:sub>
          </m:sSub>
          <m:r>
            <m:t> </m:t>
          </m:r>
          <m:r>
            <m:rPr>
              <m:sty m:val="p"/>
            </m:rPr>
            <m:t>←</m:t>
          </m:r>
          <m:r>
            <m:t> </m:t>
          </m:r>
          <m:r>
            <m:rPr>
              <m:sty m:val="p"/>
            </m:rPr>
            <m:t>s</m:t>
          </m:r>
          <m:r>
            <m:rPr>
              <m:sty m:val="p"/>
            </m:rPr>
            <m:t>g</m:t>
          </m:r>
          <m:r>
            <m:rPr>
              <m:sty m:val="p"/>
            </m:rPr>
            <m:t>n</m:t>
          </m:r>
          <m:r>
            <m:t>​</m:t>
          </m:r>
          <m:d>
            <m:dPr>
              <m:begChr m:val="("/>
              <m:sepChr m:val=""/>
              <m:endChr m:val=")"/>
              <m:grow/>
            </m:dPr>
            <m:e>
              <m:nary>
                <m:naryPr>
                  <m:chr m:val="∑"/>
                  <m:limLoc m:val="undOvr"/>
                  <m:subHide m:val="off"/>
                  <m:supHide m:val="on"/>
                </m:naryPr>
                <m:sub>
                  <m:r>
                    <m:t>j</m:t>
                  </m:r>
                </m:sub>
                <m:sup>
                  <m:r>
                    <m:t>​</m:t>
                  </m:r>
                </m:sup>
                <m:e>
                  <m:sSub>
                    <m:e>
                      <m:r>
                        <m:t>J</m:t>
                      </m:r>
                    </m:e>
                    <m:sub>
                      <m:r>
                        <m:t>i</m:t>
                      </m:r>
                      <m:r>
                        <m:t>j</m:t>
                      </m:r>
                    </m:sub>
                  </m:sSub>
                </m:e>
              </m:nary>
              <m:r>
                <m:t> </m:t>
              </m:r>
              <m:sSub>
                <m:e>
                  <m:r>
                    <m:t>s</m:t>
                  </m:r>
                </m:e>
                <m:sub>
                  <m:r>
                    <m:t>j</m:t>
                  </m:r>
                </m:sub>
              </m:sSub>
              <m:r>
                <m:rPr>
                  <m:sty m:val="p"/>
                </m:rPr>
                <m:t>+</m:t>
              </m:r>
              <m:sSub>
                <m:e>
                  <m:r>
                    <m:t>θ</m:t>
                  </m:r>
                </m:e>
                <m:sub>
                  <m:r>
                    <m:t>i</m:t>
                  </m:r>
                </m:sub>
              </m:sSub>
            </m:e>
          </m:d>
          <m:r>
            <m:rPr>
              <m:sty m:val="p"/>
            </m:rPr>
            <m:t>.</m:t>
          </m:r>
        </m:oMath>
      </m:oMathPara>
    </w:p>
    <w:p>
      <w:pPr>
        <w:pStyle w:val="FirstParagraph"/>
      </w:pPr>
      <w:r>
        <w:rPr>
          <w:rFonts w:hint="eastAsia"/>
        </w:rPr>
        <w:t xml:space="preserve">异步执行该更新可证明能量单调下降，系统终将收敛至能量函数的某个局部极小，对应一个吸引子状态。该性质使Hopfield网络可作为内容寻址联想存储器，亦可通过将组合优化问题的目标函数嵌入耦合矩阵</w:t>
      </w:r>
      <m:oMath>
        <m:sSub>
          <m:e>
            <m:r>
              <m:t>J</m:t>
            </m:r>
          </m:e>
          <m:sub>
            <m:r>
              <m:t>i</m:t>
            </m:r>
            <m:r>
              <m:t>j</m:t>
            </m:r>
          </m:sub>
        </m:sSub>
      </m:oMath>
      <w:r>
        <w:rPr>
          <w:rFonts w:hint="eastAsia"/>
        </w:rPr>
        <w:t xml:space="preserve">来求解，典型实例为Hopfield与Tank在旅行商问题上的工作</w:t>
      </w:r>
      <w:r>
        <w:rPr>
          <w:rStyle w:val="FootnoteReference"/>
        </w:rPr>
        <w:footnoteReference w:id="72"/>
      </w:r>
      <w:r>
        <w:rPr>
          <w:rFonts w:hint="eastAsia"/>
        </w:rPr>
        <w:t xml:space="preserve">。Hopfield网络与前节所述伊辛机在数学结构上同构，差异仅在于前者使用确定性贪心更新、后者使用随机更新。</w:t>
      </w:r>
    </w:p>
    <w:p>
      <w:pPr>
        <w:pStyle w:val="BodyText"/>
      </w:pPr>
      <w:r>
        <w:rPr>
          <w:rFonts w:hint="eastAsia"/>
        </w:rPr>
        <w:t xml:space="preserve">Hopfield范式存在两点关键缺陷：确定性符号更新易于陷入次优局部极小、无法跨越能量势垒；网络仅产生确定的吸引子，不构成对配置空间的概率分布，故无统计意义上的采样能力，亦无法直接处理含潜在变量的概率推断问题。将确定性符号函数替换为基于Glauber动力学的随机更新</w:t>
      </w:r>
    </w:p>
    <w:p>
      <w:pPr>
        <w:pStyle w:val="BodyText"/>
      </w:pPr>
      <m:oMathPara>
        <m:oMathParaPr>
          <m:jc m:val="center"/>
        </m:oMathParaPr>
        <m:oMath>
          <m:r>
            <m:t>P</m:t>
          </m:r>
          <m:r>
            <m:rPr>
              <m:sty m:val="p"/>
            </m:rPr>
            <m:t>(</m:t>
          </m:r>
          <m:sSub>
            <m:e>
              <m:r>
                <m:t>s</m:t>
              </m:r>
            </m:e>
            <m:sub>
              <m:r>
                <m:t>i</m:t>
              </m:r>
            </m:sub>
          </m:sSub>
          <m:r>
            <m:rPr>
              <m:sty m:val="p"/>
            </m:rPr>
            <m:t>=</m:t>
          </m:r>
          <m:r>
            <m:rPr>
              <m:sty m:val="p"/>
            </m:rPr>
            <m:t>+</m:t>
          </m:r>
          <m:r>
            <m:t>1</m:t>
          </m:r>
          <m:r>
            <m:rPr>
              <m:sty m:val="p"/>
            </m:rPr>
            <m:t>∣</m:t>
          </m:r>
          <m:sSub>
            <m:e>
              <m:r>
                <m:rPr>
                  <m:sty m:val="bi"/>
                </m:rPr>
                <m:t>s</m:t>
              </m:r>
            </m:e>
            <m:sub>
              <m:r>
                <m:rPr>
                  <m:sty m:val="p"/>
                </m:rPr>
                <m:t>\</m:t>
              </m:r>
              <m:r>
                <m:t>i</m:t>
              </m:r>
            </m:sub>
          </m:sSub>
          <m:r>
            <m:rPr>
              <m:sty m:val="p"/>
            </m:rPr>
            <m:t>)</m:t>
          </m:r>
          <m:r>
            <m:t> </m:t>
          </m:r>
          <m:r>
            <m:rPr>
              <m:sty m:val="p"/>
            </m:rPr>
            <m:t>=</m:t>
          </m:r>
          <m:r>
            <m:t> </m:t>
          </m:r>
          <m:r>
            <m:t>σ</m:t>
          </m:r>
          <m:r>
            <m:t>​</m:t>
          </m:r>
          <m:d>
            <m:dPr>
              <m:begChr m:val="("/>
              <m:sepChr m:val=""/>
              <m:endChr m:val=")"/>
              <m:grow/>
            </m:dPr>
            <m:e>
              <m:r>
                <m:t>2</m:t>
              </m:r>
              <m:r>
                <m:t>β</m:t>
              </m:r>
              <m:nary>
                <m:naryPr>
                  <m:chr m:val="∑"/>
                  <m:limLoc m:val="undOvr"/>
                  <m:subHide m:val="off"/>
                  <m:supHide m:val="on"/>
                </m:naryPr>
                <m:sub>
                  <m:r>
                    <m:t>j</m:t>
                  </m:r>
                </m:sub>
                <m:sup>
                  <m:r>
                    <m:t>​</m:t>
                  </m:r>
                </m:sup>
                <m:e>
                  <m:sSub>
                    <m:e>
                      <m:r>
                        <m:t>J</m:t>
                      </m:r>
                    </m:e>
                    <m:sub>
                      <m:r>
                        <m:t>i</m:t>
                      </m:r>
                      <m:r>
                        <m:t>j</m:t>
                      </m:r>
                    </m:sub>
                  </m:sSub>
                </m:e>
              </m:nary>
              <m:r>
                <m:t> </m:t>
              </m:r>
              <m:sSub>
                <m:e>
                  <m:r>
                    <m:t>s</m:t>
                  </m:r>
                </m:e>
                <m:sub>
                  <m:r>
                    <m:t>j</m:t>
                  </m:r>
                </m:sub>
              </m:sSub>
              <m:r>
                <m:rPr>
                  <m:sty m:val="p"/>
                </m:rPr>
                <m:t>+</m:t>
              </m:r>
              <m:r>
                <m:t>2</m:t>
              </m:r>
              <m:r>
                <m:t>β</m:t>
              </m:r>
              <m:r>
                <m:t> </m:t>
              </m:r>
              <m:sSub>
                <m:e>
                  <m:r>
                    <m:t>θ</m:t>
                  </m:r>
                </m:e>
                <m:sub>
                  <m:r>
                    <m:t>i</m:t>
                  </m:r>
                </m:sub>
              </m:sSub>
            </m:e>
          </m:d>
          <m:r>
            <m:rPr>
              <m:sty m:val="p"/>
            </m:rPr>
            <m:t>,</m:t>
          </m:r>
        </m:oMath>
      </m:oMathPara>
    </w:p>
    <w:p>
      <w:pPr>
        <w:pStyle w:val="FirstParagraph"/>
      </w:pPr>
      <w:r>
        <w:rPr>
          <w:rFonts w:hint="eastAsia"/>
        </w:rPr>
        <w:t xml:space="preserve">即得随机Hopfield网络。该网络在异步遍历更新下满足细致平衡，平稳分布恰为同一能量函数下的玻尔兹曼分布。该替换在优化层面允许由</w:t>
      </w:r>
      <m:oMath>
        <m:r>
          <m:t>β</m:t>
        </m:r>
      </m:oMath>
      <w:r>
        <w:rPr>
          <w:rFonts w:hint="eastAsia"/>
        </w:rPr>
        <w:t xml:space="preserve">控制的热噪声跨越势垒，配合</w:t>
      </w:r>
      <m:oMath>
        <m:r>
          <m:t>β</m:t>
        </m:r>
      </m:oMath>
      <w:r>
        <w:rPr>
          <w:rFonts w:hint="eastAsia"/>
        </w:rPr>
        <w:t xml:space="preserve">的逐步增大即模拟退火</w:t>
      </w:r>
      <w:r>
        <w:rPr>
          <w:rStyle w:val="FootnoteReference"/>
        </w:rPr>
        <w:footnoteReference w:id="74"/>
      </w:r>
      <w:r>
        <w:rPr>
          <w:rFonts w:hint="eastAsia"/>
        </w:rPr>
        <w:t xml:space="preserve">，可显著缓解局部极小问题；在概率层面则把网络从确定性吸引子系统转变为采样器，其状态分布对应一个良定义的概率模型。该随机更新规则与p-bit在受控热涨落下的Sigmoid型条件概率在数学形式上完全一致，故p-bit是随机Hopfield神经元的物理实现，而非仅是伊辛机求解器的功能模块。</w:t>
      </w:r>
    </w:p>
    <w:p>
      <w:pPr>
        <w:pStyle w:val="BodyText"/>
      </w:pPr>
      <w:r>
        <w:rPr>
          <w:rFonts w:hint="eastAsia"/>
        </w:rPr>
        <w:t xml:space="preserve">玻尔兹曼机由Ackley、Hinton与Sejnowski于1985年提出</w:t>
      </w:r>
      <w:r>
        <w:rPr>
          <w:rStyle w:val="FootnoteReference"/>
        </w:rPr>
        <w:footnoteReference w:id="76"/>
      </w:r>
      <w:r>
        <w:rPr>
          <w:rFonts w:hint="eastAsia"/>
        </w:rPr>
        <w:t xml:space="preserve">，在随机Hopfield网络的基础上引入两项扩展。其一是将神经元划分为可见单元与隐含单元，前者对应可观测变量，后者作为潜在变量以捕获可见层之间的高阶统计依赖；其二是把网络视为可学习的概率模型，权重通过最大化可见层数据的对数似然进行训练，由此导出含数据相关项与模型相关项之差的Hebbian形式梯度。这两项扩展将Hopfield范式从用预先编码的权重求解给定问题，转化为用未知权重从数据中学习概率分布，构成从联想记忆与优化器到生成式概率模型的根本转变。</w:t>
      </w:r>
    </w:p>
    <w:p>
      <w:pPr>
        <w:pStyle w:val="BodyText"/>
      </w:pPr>
      <w:r>
        <w:rPr>
          <w:rFonts w:hint="eastAsia"/>
        </w:rPr>
        <w:t xml:space="preserve">玻尔兹曼机的早期实用化受限于训练所需MCMC采样的高计算代价。Smolensky于1986年提出harmonium模型</w:t>
      </w:r>
      <w:r>
        <w:rPr>
          <w:rStyle w:val="FootnoteReference"/>
        </w:rPr>
        <w:footnoteReference w:id="78"/>
      </w:r>
      <w:r>
        <w:rPr>
          <w:rFonts w:hint="eastAsia"/>
        </w:rPr>
        <w:t xml:space="preserve">，将玻尔兹曼机的拓扑限制为可见层</w:t>
      </w:r>
      <m:oMath>
        <m:r>
          <m:rPr>
            <m:sty m:val="bi"/>
          </m:rPr>
          <m:t>v</m:t>
        </m:r>
      </m:oMath>
      <w:r>
        <w:rPr>
          <w:rFonts w:hint="eastAsia"/>
        </w:rPr>
        <w:t xml:space="preserve">与隐含层</w:t>
      </w:r>
      <m:oMath>
        <m:r>
          <m:rPr>
            <m:sty m:val="bi"/>
          </m:rPr>
          <m:t>h</m:t>
        </m:r>
      </m:oMath>
      <w:r>
        <w:rPr>
          <w:rFonts w:hint="eastAsia"/>
        </w:rPr>
        <w:t xml:space="preserve">之间的二分图，禁止层内连接，能量函数为</w:t>
      </w:r>
    </w:p>
    <w:p>
      <w:pPr>
        <w:pStyle w:val="BodyText"/>
      </w:pPr>
      <m:oMathPara>
        <m:oMathParaPr>
          <m:jc m:val="center"/>
        </m:oMathParaPr>
        <m:oMath>
          <m:r>
            <m:t>E</m:t>
          </m:r>
          <m:r>
            <m:rPr>
              <m:sty m:val="p"/>
            </m:rPr>
            <m:t>(</m:t>
          </m:r>
          <m:r>
            <m:rPr>
              <m:sty m:val="bi"/>
            </m:rPr>
            <m:t>v</m:t>
          </m:r>
          <m:r>
            <m:rPr>
              <m:sty m:val="p"/>
            </m:rPr>
            <m:t>,</m:t>
          </m:r>
          <m:r>
            <m:rPr>
              <m:sty m:val="bi"/>
            </m:rPr>
            <m:t>h</m:t>
          </m:r>
          <m:r>
            <m:rPr>
              <m:sty m:val="p"/>
            </m:rPr>
            <m:t>)</m:t>
          </m:r>
          <m:r>
            <m:t> </m:t>
          </m:r>
          <m:r>
            <m:rPr>
              <m:sty m:val="p"/>
            </m:rPr>
            <m:t>=</m:t>
          </m:r>
          <m:r>
            <m:t> </m:t>
          </m:r>
          <m:r>
            <m:rPr>
              <m:sty m:val="p"/>
            </m:rPr>
            <m:t>−</m:t>
          </m:r>
          <m:r>
            <m:t> </m:t>
          </m:r>
          <m:sSup>
            <m:e>
              <m:r>
                <m:rPr>
                  <m:sty m:val="bi"/>
                </m:rPr>
                <m:t>v</m:t>
              </m:r>
            </m:e>
            <m:sup>
              <m:r>
                <m:rPr>
                  <m:sty m:val="p"/>
                </m:rPr>
                <m:t>⊤</m:t>
              </m:r>
            </m:sup>
          </m:sSup>
          <m:r>
            <m:t>W</m:t>
          </m:r>
          <m:r>
            <m:rPr>
              <m:sty m:val="bi"/>
            </m:rPr>
            <m:t>h</m:t>
          </m:r>
          <m:r>
            <m:t> </m:t>
          </m:r>
          <m:r>
            <m:rPr>
              <m:sty m:val="p"/>
            </m:rPr>
            <m:t>−</m:t>
          </m:r>
          <m:r>
            <m:t> </m:t>
          </m:r>
          <m:sSup>
            <m:e>
              <m:r>
                <m:rPr>
                  <m:sty m:val="bi"/>
                </m:rPr>
                <m:t>a</m:t>
              </m:r>
            </m:e>
            <m:sup>
              <m:r>
                <m:rPr>
                  <m:sty m:val="p"/>
                </m:rPr>
                <m:t>⊤</m:t>
              </m:r>
            </m:sup>
          </m:sSup>
          <m:r>
            <m:rPr>
              <m:sty m:val="bi"/>
            </m:rPr>
            <m:t>v</m:t>
          </m:r>
          <m:r>
            <m:t> </m:t>
          </m:r>
          <m:r>
            <m:rPr>
              <m:sty m:val="p"/>
            </m:rPr>
            <m:t>−</m:t>
          </m:r>
          <m:r>
            <m:t> </m:t>
          </m:r>
          <m:sSup>
            <m:e>
              <m:r>
                <m:rPr>
                  <m:sty m:val="bi"/>
                </m:rPr>
                <m:t>b</m:t>
              </m:r>
            </m:e>
            <m:sup>
              <m:r>
                <m:rPr>
                  <m:sty m:val="p"/>
                </m:rPr>
                <m:t>⊤</m:t>
              </m:r>
            </m:sup>
          </m:sSup>
          <m:r>
            <m:rPr>
              <m:sty m:val="bi"/>
            </m:rPr>
            <m:t>h</m:t>
          </m:r>
          <m:r>
            <m:rPr>
              <m:sty m:val="p"/>
            </m:rPr>
            <m:t>.</m:t>
          </m:r>
        </m:oMath>
      </m:oMathPara>
    </w:p>
    <w:p>
      <w:pPr>
        <w:pStyle w:val="FirstParagraph"/>
      </w:pPr>
      <w:r>
        <w:rPr>
          <w:rFonts w:hint="eastAsia"/>
        </w:rPr>
        <w:t xml:space="preserve">该结构即后来的受限玻尔兹曼机</w:t>
      </w:r>
      <w:r>
        <w:t xml:space="preserve"> </w:t>
      </w:r>
      <w:r>
        <w:rPr>
          <w:rFonts w:hint="eastAsia"/>
        </w:rPr>
        <w:t xml:space="preserve">(RBM)。二分约束使得给定一层时另一层的条件分布完全因子化，</w:t>
      </w:r>
    </w:p>
    <w:p>
      <w:pPr>
        <w:pStyle w:val="BodyText"/>
      </w:pPr>
      <m:oMathPara>
        <m:oMathParaPr>
          <m:jc m:val="center"/>
        </m:oMathParaPr>
        <m:oMath>
          <m:r>
            <m:t>P</m:t>
          </m:r>
          <m:r>
            <m:rPr>
              <m:sty m:val="p"/>
            </m:rPr>
            <m:t>(</m:t>
          </m:r>
          <m:sSub>
            <m:e>
              <m:r>
                <m:t>h</m:t>
              </m:r>
            </m:e>
            <m:sub>
              <m:r>
                <m:t>j</m:t>
              </m:r>
            </m:sub>
          </m:sSub>
          <m:r>
            <m:rPr>
              <m:sty m:val="p"/>
            </m:rPr>
            <m:t>=</m:t>
          </m:r>
          <m:r>
            <m:t>1</m:t>
          </m:r>
          <m:r>
            <m:rPr>
              <m:sty m:val="p"/>
            </m:rPr>
            <m:t>∣</m:t>
          </m:r>
          <m:r>
            <m:rPr>
              <m:sty m:val="bi"/>
            </m:rPr>
            <m:t>v</m:t>
          </m:r>
          <m:r>
            <m:rPr>
              <m:sty m:val="p"/>
            </m:rPr>
            <m:t>)</m:t>
          </m:r>
          <m:r>
            <m:t> </m:t>
          </m:r>
          <m:r>
            <m:rPr>
              <m:sty m:val="p"/>
            </m:rPr>
            <m:t>=</m:t>
          </m:r>
          <m:r>
            <m:t> </m:t>
          </m:r>
          <m:r>
            <m:t>σ</m:t>
          </m:r>
          <m:r>
            <m:t>​</m:t>
          </m:r>
          <m:d>
            <m:dPr>
              <m:begChr m:val="("/>
              <m:sepChr m:val=""/>
              <m:endChr m:val=")"/>
              <m:grow/>
            </m:dPr>
            <m:e>
              <m:nary>
                <m:naryPr>
                  <m:chr m:val="∑"/>
                  <m:limLoc m:val="undOvr"/>
                  <m:subHide m:val="off"/>
                  <m:supHide m:val="on"/>
                </m:naryPr>
                <m:sub>
                  <m:r>
                    <m:t>i</m:t>
                  </m:r>
                </m:sub>
                <m:sup>
                  <m:r>
                    <m:t>​</m:t>
                  </m:r>
                </m:sup>
                <m:e>
                  <m:sSub>
                    <m:e>
                      <m:r>
                        <m:t>W</m:t>
                      </m:r>
                    </m:e>
                    <m:sub>
                      <m:r>
                        <m:t>i</m:t>
                      </m:r>
                      <m:r>
                        <m:t>j</m:t>
                      </m:r>
                    </m:sub>
                  </m:sSub>
                </m:e>
              </m:nary>
              <m:r>
                <m:t> </m:t>
              </m:r>
              <m:sSub>
                <m:e>
                  <m:r>
                    <m:t>v</m:t>
                  </m:r>
                </m:e>
                <m:sub>
                  <m:r>
                    <m:t>i</m:t>
                  </m:r>
                </m:sub>
              </m:sSub>
              <m:r>
                <m:rPr>
                  <m:sty m:val="p"/>
                </m:rPr>
                <m:t>+</m:t>
              </m:r>
              <m:sSub>
                <m:e>
                  <m:r>
                    <m:t>b</m:t>
                  </m:r>
                </m:e>
                <m:sub>
                  <m:r>
                    <m:t>j</m:t>
                  </m:r>
                </m:sub>
              </m:sSub>
            </m:e>
          </m:d>
          <m:r>
            <m:rPr>
              <m:sty m:val="p"/>
            </m:rPr>
            <m:t>,</m:t>
          </m:r>
          <m:r>
            <m:t>  </m:t>
          </m:r>
          <m:r>
            <m:t>P</m:t>
          </m:r>
          <m:r>
            <m:rPr>
              <m:sty m:val="p"/>
            </m:rPr>
            <m:t>(</m:t>
          </m:r>
          <m:sSub>
            <m:e>
              <m:r>
                <m:t>v</m:t>
              </m:r>
            </m:e>
            <m:sub>
              <m:r>
                <m:t>i</m:t>
              </m:r>
            </m:sub>
          </m:sSub>
          <m:r>
            <m:rPr>
              <m:sty m:val="p"/>
            </m:rPr>
            <m:t>=</m:t>
          </m:r>
          <m:r>
            <m:t>1</m:t>
          </m:r>
          <m:r>
            <m:rPr>
              <m:sty m:val="p"/>
            </m:rPr>
            <m:t>∣</m:t>
          </m:r>
          <m:r>
            <m:rPr>
              <m:sty m:val="bi"/>
            </m:rPr>
            <m:t>h</m:t>
          </m:r>
          <m:r>
            <m:rPr>
              <m:sty m:val="p"/>
            </m:rPr>
            <m:t>)</m:t>
          </m:r>
          <m:r>
            <m:t> </m:t>
          </m:r>
          <m:r>
            <m:rPr>
              <m:sty m:val="p"/>
            </m:rPr>
            <m:t>=</m:t>
          </m:r>
          <m:r>
            <m:t> </m:t>
          </m:r>
          <m:r>
            <m:t>σ</m:t>
          </m:r>
          <m:r>
            <m:t>​</m:t>
          </m:r>
          <m:d>
            <m:dPr>
              <m:begChr m:val="("/>
              <m:sepChr m:val=""/>
              <m:endChr m:val=")"/>
              <m:grow/>
            </m:dPr>
            <m:e>
              <m:nary>
                <m:naryPr>
                  <m:chr m:val="∑"/>
                  <m:limLoc m:val="undOvr"/>
                  <m:subHide m:val="off"/>
                  <m:supHide m:val="on"/>
                </m:naryPr>
                <m:sub>
                  <m:r>
                    <m:t>j</m:t>
                  </m:r>
                </m:sub>
                <m:sup>
                  <m:r>
                    <m:t>​</m:t>
                  </m:r>
                </m:sup>
                <m:e>
                  <m:sSub>
                    <m:e>
                      <m:r>
                        <m:t>W</m:t>
                      </m:r>
                    </m:e>
                    <m:sub>
                      <m:r>
                        <m:t>i</m:t>
                      </m:r>
                      <m:r>
                        <m:t>j</m:t>
                      </m:r>
                    </m:sub>
                  </m:sSub>
                </m:e>
              </m:nary>
              <m:r>
                <m:t> </m:t>
              </m:r>
              <m:sSub>
                <m:e>
                  <m:r>
                    <m:t>h</m:t>
                  </m:r>
                </m:e>
                <m:sub>
                  <m:r>
                    <m:t>j</m:t>
                  </m:r>
                </m:sub>
              </m:sSub>
              <m:r>
                <m:rPr>
                  <m:sty m:val="p"/>
                </m:rPr>
                <m:t>+</m:t>
              </m:r>
              <m:sSub>
                <m:e>
                  <m:r>
                    <m:t>a</m:t>
                  </m:r>
                </m:e>
                <m:sub>
                  <m:r>
                    <m:t>i</m:t>
                  </m:r>
                </m:sub>
              </m:sSub>
            </m:e>
          </m:d>
          <m:r>
            <m:rPr>
              <m:sty m:val="p"/>
            </m:rPr>
            <m:t>,</m:t>
          </m:r>
        </m:oMath>
      </m:oMathPara>
    </w:p>
    <w:p>
      <w:pPr>
        <w:pStyle w:val="FirstParagraph"/>
      </w:pPr>
      <w:r>
        <w:rPr>
          <w:rFonts w:hint="eastAsia"/>
        </w:rPr>
        <w:t xml:space="preserve">层内并行Gibbs采样由此成为可能，结合Hinton提出的对比散度算法</w:t>
      </w:r>
      <w:r>
        <w:rPr>
          <w:rStyle w:val="FootnoteReference"/>
        </w:rPr>
        <w:footnoteReference w:id="80"/>
      </w:r>
      <w:r>
        <w:rPr>
          <w:rFonts w:hint="eastAsia"/>
        </w:rPr>
        <w:t xml:space="preserve">，使RBM训练在通用处理器上变得可行。其后Hinton、Osindero与Teh通过逐层堆叠RBM并以贪心方式预训练，构建了深度信念网络</w:t>
      </w:r>
      <w:r>
        <w:t xml:space="preserve"> (deep belief network, DBN)</w:t>
      </w:r>
      <w:r>
        <w:rPr>
          <w:rStyle w:val="FootnoteReference"/>
        </w:rPr>
        <w:footnoteReference w:id="82"/>
      </w:r>
      <w:r>
        <w:rPr>
          <w:rFonts w:hint="eastAsia"/>
        </w:rPr>
        <w:t xml:space="preserve">，将能量基模型推向深度学习的早期复兴；Salakhutdinov与Hinton进一步发展了允许多层潜变量联合训练的深度玻尔兹曼机</w:t>
      </w:r>
      <w:r>
        <w:rPr>
          <w:rStyle w:val="FootnoteReference"/>
        </w:rPr>
        <w:footnoteReference w:id="84"/>
      </w:r>
      <w:r>
        <w:rPr>
          <w:rFonts w:hint="eastAsia"/>
        </w:rPr>
        <w:t xml:space="preserve">。在并行的有向图模型路径上，Neal于1992年提出的sigmoid信念网络</w:t>
      </w:r>
      <w:r>
        <w:rPr>
          <w:rStyle w:val="FootnoteReference"/>
        </w:rPr>
        <w:footnoteReference w:id="86"/>
      </w:r>
      <w:r>
        <w:rPr>
          <w:rFonts w:hint="eastAsia"/>
        </w:rPr>
        <w:t xml:space="preserve">同样以二值随机神经元为基本单元，但以有向无环图替代无向图，其条件分布同为Sigmoid型，更新调度由随机异步遍历改为按拓扑顺序的祖先采样。</w:t>
      </w:r>
    </w:p>
    <w:p>
      <w:pPr>
        <w:pStyle w:val="BodyText"/>
      </w:pPr>
      <w:r>
        <w:rPr>
          <w:rFonts w:hint="eastAsia"/>
        </w:rPr>
        <w:t xml:space="preserve">现代前馈路线在另一侧推进。二值神经网络把连续权重与激活压缩为</w:t>
      </w:r>
      <m:oMath>
        <m:r>
          <m:rPr>
            <m:sty m:val="p"/>
          </m:rPr>
          <m:t>±</m:t>
        </m:r>
        <m:r>
          <m:t>1</m:t>
        </m:r>
      </m:oMath>
      <w:r>
        <w:rPr>
          <w:rStyle w:val="FootnoteReference"/>
        </w:rPr>
        <w:footnoteReference w:id="88"/>
      </w:r>
      <w:r>
        <w:rPr>
          <w:rFonts w:hint="eastAsia"/>
        </w:rPr>
        <w:t xml:space="preserve">，以XNOR-popcount替代乘加</w:t>
      </w:r>
      <w:r>
        <w:rPr>
          <w:rStyle w:val="FootnoteReference"/>
        </w:rPr>
        <w:footnoteReference w:id="90"/>
      </w:r>
      <w:r>
        <w:rPr>
          <w:rFonts w:hint="eastAsia"/>
        </w:rPr>
        <w:t xml:space="preserve">，并借直通估计器</w:t>
      </w:r>
      <w:r>
        <w:rPr>
          <w:rStyle w:val="FootnoteReference"/>
        </w:rPr>
        <w:footnoteReference w:id="92"/>
      </w:r>
      <w:r>
        <w:rPr>
          <w:rFonts w:hint="eastAsia"/>
        </w:rPr>
        <w:t xml:space="preserve">保持深层前馈网络的可训练性；Shayer等人</w:t>
      </w:r>
      <w:r>
        <w:rPr>
          <w:rStyle w:val="FootnoteReference"/>
        </w:rPr>
        <w:footnoteReference w:id="94"/>
      </w:r>
      <w:r>
        <w:rPr>
          <w:rFonts w:hint="eastAsia"/>
        </w:rPr>
        <w:t xml:space="preserve">与Peters等人</w:t>
      </w:r>
      <w:r>
        <w:rPr>
          <w:rStyle w:val="FootnoteReference"/>
        </w:rPr>
        <w:footnoteReference w:id="96"/>
      </w:r>
      <w:r>
        <w:rPr>
          <w:rFonts w:hint="eastAsia"/>
        </w:rPr>
        <w:t xml:space="preserve">进一步将确定二值权重推广为由潜参数控制的伯努利变量，训练时利用概率统计量近似完成前向与梯度估计，由此形成概率二值神经网络</w:t>
      </w:r>
      <w:r>
        <w:t xml:space="preserve"> (probabilistic binary neural network, </w:t>
      </w:r>
      <w:r>
        <w:rPr>
          <w:rFonts w:hint="eastAsia"/>
        </w:rPr>
        <w:t xml:space="preserve">PBNN)。因此，PBNN并非DBN或DBM的直接后继，而位于两条路线的汇合处：其按层有序的随机二值单元与sigmoid信念网络共享有向条件采样语义，其前馈训练、位运算与反向传播机制则承接现代BNN；当这一抽样机制落到硬件层时，又可由p-bit或sMTJ提供原生的Sigmoid伯努利采样。</w:t>
      </w:r>
    </w:p>
    <w:p>
      <w:pPr>
        <w:pStyle w:val="BodyText"/>
      </w:pPr>
      <w:r>
        <w:rPr>
          <w:rFonts w:hint="eastAsia"/>
        </w:rPr>
        <w:t xml:space="preserve">将</w:t>
      </w:r>
      <m:oMath>
        <m:r>
          <m:rPr>
            <m:sty m:val="p"/>
          </m:rPr>
          <m:t>{</m:t>
        </m:r>
        <m:r>
          <m:t>0</m:t>
        </m:r>
        <m:r>
          <m:rPr>
            <m:sty m:val="p"/>
          </m:rPr>
          <m:t>,</m:t>
        </m:r>
        <m:r>
          <m:t> </m:t>
        </m:r>
        <m:r>
          <m:t>1</m:t>
        </m:r>
        <m:r>
          <m:rPr>
            <m:sty m:val="p"/>
          </m:rPr>
          <m:t>}</m:t>
        </m:r>
      </m:oMath>
      <w:r>
        <w:rPr>
          <w:rFonts w:hint="eastAsia"/>
        </w:rPr>
        <w:t xml:space="preserve">编码与</w:t>
      </w:r>
      <m:oMath>
        <m:r>
          <m:rPr>
            <m:sty m:val="p"/>
          </m:rPr>
          <m:t>{</m:t>
        </m:r>
        <m:r>
          <m:rPr>
            <m:sty m:val="p"/>
          </m:rPr>
          <m:t>−</m:t>
        </m:r>
        <m:r>
          <m:t>1</m:t>
        </m:r>
        <m:r>
          <m:rPr>
            <m:sty m:val="p"/>
          </m:rPr>
          <m:t>,</m:t>
        </m:r>
        <m:r>
          <m:t> </m:t>
        </m:r>
        <m:r>
          <m:rPr>
            <m:sty m:val="p"/>
          </m:rPr>
          <m:t>+</m:t>
        </m:r>
        <m:r>
          <m:t>1</m:t>
        </m:r>
        <m:r>
          <m:rPr>
            <m:sty m:val="p"/>
          </m:rPr>
          <m:t>}</m:t>
        </m:r>
      </m:oMath>
      <w:r>
        <w:rPr>
          <w:rFonts w:hint="eastAsia"/>
        </w:rPr>
        <w:t xml:space="preserve">编码通过线性变换</w:t>
      </w:r>
      <m:oMath>
        <m:r>
          <m:t>s</m:t>
        </m:r>
        <m:r>
          <m:rPr>
            <m:sty m:val="p"/>
          </m:rPr>
          <m:t>=</m:t>
        </m:r>
        <m:r>
          <m:t>2</m:t>
        </m:r>
        <m:r>
          <m:t>v</m:t>
        </m:r>
        <m:r>
          <m:rPr>
            <m:sty m:val="p"/>
          </m:rPr>
          <m:t>−</m:t>
        </m:r>
        <m:r>
          <m:t>1</m:t>
        </m:r>
      </m:oMath>
      <w:r>
        <w:rPr>
          <w:rFonts w:hint="eastAsia"/>
        </w:rPr>
        <w:t xml:space="preserve">互译后，RBM能量函数与伊辛/Hopfield能量函数仅在常数项与偏置重定标处有差异，本质上属于同一类对象。由此可勾勒出一条清晰的演化路径：伊辛模型给出对称二值耦合系统的能量描述与平衡态统计；Hopfield网络以确定性动力学将该能量描述用于计算，建立”能量极小即为答案”的范式；引入热噪声使其转化为对玻尔兹曼分布的采样器，并在优化侧导出模拟退火；玻尔兹曼机引入隐含单元与最大似然学习，使该范式从优化器扩展为可学习的生成模型；RBM、DBN与DBM通过拓扑约束和深层堆叠推动无向能量模型继续发展；sigmoid信念网络则在有向图方向保留了Sigmoid条件采样；现代BNN与PBNN进一步把二值随机单元嵌入按层前馈、可反向传播的深度网络。各分支的差异在于网络拓扑、更新调度与学习目标，而它们在局部二值采样层面共享Sigmoid型条件概率。需要说明，上述脉络以能量函数与平衡态采样为共同基础；1.1.2节所引出的概率二值储备池计算并不通过能量极小化求解，而是利用器件的非平衡时域动力学，因而是一条与之并行、而非由其衍生的分支，其研究现状与空白见1.2.4节，研究动机与本文定位见1.3.3节。</w:t>
      </w:r>
    </w:p>
    <w:p>
      <w:pPr>
        <w:pStyle w:val="BodyText"/>
      </w:pPr>
      <w:r>
        <w:drawing>
          <wp:inline>
            <wp:extent cx="5334000" cy="3109652"/>
            <wp:effectExtent b="0" l="0" r="0" t="0"/>
            <wp:docPr descr="" title="" id="99" name="Picture"/>
            <a:graphic>
              <a:graphicData uri="http://schemas.openxmlformats.org/drawingml/2006/picture">
                <pic:pic>
                  <pic:nvPicPr>
                    <pic:cNvPr descr="./figs/Chapter01_local_02.png" id="100" name="Picture"/>
                    <pic:cNvPicPr>
                      <a:picLocks noChangeArrowheads="1" noChangeAspect="1"/>
                    </pic:cNvPicPr>
                  </pic:nvPicPr>
                  <pic:blipFill>
                    <a:blip r:embed="rId98"/>
                    <a:stretch>
                      <a:fillRect/>
                    </a:stretch>
                  </pic:blipFill>
                  <pic:spPr bwMode="auto">
                    <a:xfrm>
                      <a:off x="0" y="0"/>
                      <a:ext cx="5334000" cy="3109652"/>
                    </a:xfrm>
                    <a:prstGeom prst="rect">
                      <a:avLst/>
                    </a:prstGeom>
                    <a:noFill/>
                    <a:ln w="9525">
                      <a:noFill/>
                      <a:headEnd/>
                      <a:tailEnd/>
                    </a:ln>
                  </pic:spPr>
                </pic:pic>
              </a:graphicData>
            </a:graphic>
          </wp:inline>
        </w:drawing>
      </w:r>
    </w:p>
    <w:p>
      <w:pPr>
        <w:pStyle w:val="BodyText"/>
      </w:pPr>
      <w:r>
        <w:rPr>
          <w:rFonts w:hint="eastAsia"/>
          <w:b/>
          <w:bCs/>
        </w:rPr>
        <w:t xml:space="preserve">图1.2</w:t>
      </w:r>
      <w:r>
        <w:t xml:space="preserve"> </w:t>
      </w:r>
      <w:r>
        <w:rPr>
          <w:rFonts w:hint="eastAsia"/>
        </w:rPr>
        <w:t xml:space="preserve">二值随机模型的发展脉络与概率二值器件的两类用法。最上层为伊辛模型、Hopfield网络、玻尔兹曼机与RBM/DBN/DBM构成的无向能量模型主线；第二层为无记忆采样下的优化与前馈推断分支，含模拟退火、sigmoid信念网络与现代前馈BNN，并将PBNN表示为有向随机二值采样语义与前馈二值训练路线的汇合；中间一层以p-bit/sMTJ标出二者共享的局部Sigmoid采样，并显式区分其两类用法，即向上的无记忆伯努利采样，服务伊辛与PBNN，以及向下的有状态时域动力学；最下层即后者对应的储备池计算脉络，从回声状态网络与液态状态机经物理储备池到本文的概率二值储备池计算。储备池计算以非平衡时域动力学为基础，是一条与上方能量模型谱系并无衍生关系、仅在同一器件处交汇的并行范式；PBNN与概率二值储备池计算分处采样两侧并共享同一sMTJ。</w:t>
      </w:r>
    </w:p>
    <w:bookmarkEnd w:id="101"/>
    <w:bookmarkStart w:id="114" w:name="p-bit的物理实现路径与其代价"/>
    <w:p>
      <w:pPr>
        <w:pStyle w:val="Heading3"/>
      </w:pPr>
      <w:r>
        <w:t xml:space="preserve">1.1.5 </w:t>
      </w:r>
      <w:r>
        <w:rPr>
          <w:rFonts w:hint="eastAsia"/>
        </w:rPr>
        <w:t xml:space="preserve">p-bit的物理实现路径与其代价</w:t>
      </w:r>
    </w:p>
    <w:p>
      <w:pPr>
        <w:pStyle w:val="FirstParagraph"/>
      </w:pPr>
      <w:r>
        <w:rPr>
          <w:rFonts w:hint="eastAsia"/>
        </w:rPr>
        <w:t xml:space="preserve">如何在硬件上实现具备</w:t>
      </w:r>
      <m:oMath>
        <m:r>
          <m:t>σ</m:t>
        </m:r>
        <m:r>
          <m:rPr>
            <m:sty m:val="p"/>
          </m:rPr>
          <m:t>(</m:t>
        </m:r>
        <m:r>
          <m:t>I</m:t>
        </m:r>
        <m:r>
          <m:rPr>
            <m:sty m:val="p"/>
          </m:rPr>
          <m:t>/</m:t>
        </m:r>
        <m:r>
          <m:t>T</m:t>
        </m:r>
        <m:r>
          <m:rPr>
            <m:sty m:val="p"/>
          </m:rPr>
          <m:t>)</m:t>
        </m:r>
      </m:oMath>
      <w:r>
        <w:rPr>
          <w:rFonts w:hint="eastAsia"/>
        </w:rPr>
        <w:t xml:space="preserve">特性的p-bit，是整条技术栈中决定实际能效的核心环节。主流路径分为纯CMOS与新兴非易失器件两大类，其权衡并不相同。</w:t>
      </w:r>
    </w:p>
    <w:p>
      <w:pPr>
        <w:pStyle w:val="BodyText"/>
      </w:pPr>
      <w:r>
        <w:rPr>
          <w:rFonts w:hint="eastAsia"/>
        </w:rPr>
        <w:t xml:space="preserve">纯CMOS路径下又分数字与模拟两条。数字CMOS</w:t>
      </w:r>
      <w:r>
        <w:t xml:space="preserve"> </w:t>
      </w:r>
      <w:r>
        <w:rPr>
          <w:rFonts w:hint="eastAsia"/>
        </w:rPr>
        <w:t xml:space="preserve">p-bit以熵源</w:t>
      </w:r>
      <w:r>
        <w:t xml:space="preserve"> </w:t>
      </w:r>
      <w:r>
        <w:rPr>
          <w:rFonts w:hint="eastAsia"/>
        </w:rPr>
        <w:t xml:space="preserve">(LFSR或环形振荡器TRNG)、Sigmoid查找表与比较器构成三级流水线：取</w:t>
      </w:r>
      <m:oMath>
        <m:r>
          <m:t>N</m:t>
        </m:r>
      </m:oMath>
      <w:r>
        <w:rPr>
          <w:rFonts w:hint="eastAsia"/>
        </w:rPr>
        <w:t xml:space="preserve">位均匀随机数</w:t>
      </w:r>
      <m:oMath>
        <m:r>
          <m:t>r</m:t>
        </m:r>
      </m:oMath>
      <w:r>
        <w:rPr>
          <w:rFonts w:hint="eastAsia"/>
        </w:rPr>
        <w:t xml:space="preserve">与查找表输出的阈值</w:t>
      </w:r>
      <m:oMath>
        <m:r>
          <m:t>σ</m:t>
        </m:r>
        <m:r>
          <m:rPr>
            <m:sty m:val="p"/>
          </m:rPr>
          <m:t>(</m:t>
        </m:r>
        <m:r>
          <m:t>I</m:t>
        </m:r>
        <m:r>
          <m:rPr>
            <m:sty m:val="p"/>
          </m:rPr>
          <m:t>)</m:t>
        </m:r>
        <m:r>
          <m:rPr>
            <m:sty m:val="p"/>
          </m:rPr>
          <m:t>⋅</m:t>
        </m:r>
        <m:sSup>
          <m:e>
            <m:r>
              <m:t>2</m:t>
            </m:r>
          </m:e>
          <m:sup>
            <m:r>
              <m:t>N</m:t>
            </m:r>
          </m:sup>
        </m:sSup>
      </m:oMath>
      <w:r>
        <w:rPr>
          <w:rFonts w:hint="eastAsia"/>
        </w:rPr>
        <w:t xml:space="preserve">比较，输出</w:t>
      </w:r>
      <m:oMath>
        <m:r>
          <m:rPr>
            <m:sty m:val="p"/>
          </m:rPr>
          <m:t>+</m:t>
        </m:r>
        <m:r>
          <m:t>1</m:t>
        </m:r>
      </m:oMath>
      <w:r>
        <w:rPr>
          <w:rFonts w:hint="eastAsia"/>
        </w:rPr>
        <w:t xml:space="preserve">的概率以</w:t>
      </w:r>
      <m:oMath>
        <m:sSup>
          <m:e>
            <m:r>
              <m:t>2</m:t>
            </m:r>
          </m:e>
          <m:sup>
            <m:r>
              <m:rPr>
                <m:sty m:val="p"/>
              </m:rPr>
              <m:t>−</m:t>
            </m:r>
            <m:r>
              <m:t>N</m:t>
            </m:r>
          </m:sup>
        </m:sSup>
      </m:oMath>
      <w:r>
        <w:rPr>
          <w:rFonts w:hint="eastAsia"/>
        </w:rPr>
        <w:t xml:space="preserve">的分辨率逼近</w:t>
      </w:r>
      <m:oMath>
        <m:r>
          <m:t>σ</m:t>
        </m:r>
        <m:r>
          <m:rPr>
            <m:sty m:val="p"/>
          </m:rPr>
          <m:t>(</m:t>
        </m:r>
        <m:r>
          <m:t>I</m:t>
        </m:r>
        <m:r>
          <m:rPr>
            <m:sty m:val="p"/>
          </m:rPr>
          <m:t>)</m:t>
        </m:r>
      </m:oMath>
      <w:r>
        <w:rPr>
          <w:rFonts w:hint="eastAsia"/>
        </w:rPr>
        <w:t xml:space="preserve">。该方案设计门槛低、工艺兼容性好、概率精度可控，是目前唯一在量产芯片中验证的选择，代价在于每bit需一整条数字流水线：如1.1.1节所引，伪随机数发生器占数字p-bit晶体管数约三分之二、每随机位耗能145至293</w:t>
      </w:r>
      <w:r>
        <w:t xml:space="preserve"> fJ</w:t>
      </w:r>
      <w:r>
        <w:rPr>
          <w:rStyle w:val="FootnoteReference"/>
        </w:rPr>
        <w:footnoteReference w:id="102"/>
      </w:r>
      <w:r>
        <w:rPr>
          <w:rFonts w:hint="eastAsia"/>
        </w:rPr>
        <w:t xml:space="preserve">。模拟域方案以更少的器件产生受控随机输出，如利用绝缘体-金属相变器件在分岔点附近热噪声与阈值噪声的交互构造随机神经元</w:t>
      </w:r>
      <w:r>
        <w:rPr>
          <w:rStyle w:val="FootnoteReference"/>
        </w:rPr>
        <w:footnoteReference w:id="103"/>
      </w:r>
      <w:r>
        <w:rPr>
          <w:rFonts w:hint="eastAsia"/>
        </w:rPr>
        <w:t xml:space="preserve">，能效高于数字流水线，但对工艺偏差与温度强相关，需额外校准。</w:t>
      </w:r>
    </w:p>
    <w:p>
      <w:pPr>
        <w:pStyle w:val="BodyText"/>
      </w:pPr>
      <w:r>
        <w:rPr>
          <w:rFonts w:hint="eastAsia"/>
        </w:rPr>
        <w:t xml:space="preserve">新兴非易失器件路线中，基于磁隧道结</w:t>
      </w:r>
      <w:r>
        <w:t xml:space="preserve"> (MTJ) </w:t>
      </w:r>
      <w:r>
        <w:rPr>
          <w:rFonts w:hint="eastAsia"/>
        </w:rPr>
        <w:t xml:space="preserve">的随机磁隧道结</w:t>
      </w:r>
      <w:r>
        <w:t xml:space="preserve"> (stochastic MTJ, sMTJ) </w:t>
      </w:r>
      <w:r>
        <w:rPr>
          <w:rFonts w:hint="eastAsia"/>
        </w:rPr>
        <w:t xml:space="preserve">是迄今研究最充分、产业化进度最快的方案。其核心思想是把常规MRAM用的高势垒</w:t>
      </w:r>
      <w:r>
        <w:t xml:space="preserve"> (</w:t>
      </w:r>
      <m:oMath>
        <m:r>
          <m:rPr>
            <m:sty m:val="p"/>
          </m:rPr>
          <m:t>Δ</m:t>
        </m:r>
        <m:r>
          <m:rPr>
            <m:sty m:val="p"/>
          </m:rPr>
          <m:t>=</m:t>
        </m:r>
        <m:sSub>
          <m:e>
            <m:r>
              <m:t>E</m:t>
            </m:r>
          </m:e>
          <m:sub>
            <m:r>
              <m:rPr>
                <m:sty m:val="p"/>
              </m:rPr>
              <m:t>b</m:t>
            </m:r>
          </m:sub>
        </m:sSub>
        <m:r>
          <m:rPr>
            <m:sty m:val="p"/>
          </m:rPr>
          <m:t>/</m:t>
        </m:r>
        <m:sSub>
          <m:e>
            <m:r>
              <m:t>k</m:t>
            </m:r>
          </m:e>
          <m:sub>
            <m:r>
              <m:rPr>
                <m:sty m:val="p"/>
              </m:rPr>
              <m:t>B</m:t>
            </m:r>
          </m:sub>
        </m:sSub>
        <m:r>
          <m:t>T</m:t>
        </m:r>
        <m:r>
          <m:rPr>
            <m:sty m:val="p"/>
          </m:rPr>
          <m:t>&gt;</m:t>
        </m:r>
        <m:r>
          <m:t>40</m:t>
        </m:r>
        <m:r>
          <m:rPr>
            <m:sty m:val="p"/>
          </m:rPr>
          <m:t>∼</m:t>
        </m:r>
        <m:r>
          <m:t>60</m:t>
        </m:r>
      </m:oMath>
      <w:r>
        <w:rPr>
          <w:rFonts w:hint="eastAsia"/>
        </w:rPr>
        <w:t xml:space="preserve">)MTJ替换为低势垒MTJ(</w:t>
      </w:r>
      <m:oMath>
        <m:r>
          <m:rPr>
            <m:sty m:val="p"/>
          </m:rPr>
          <m:t>Δ</m:t>
        </m:r>
        <m:r>
          <m:rPr>
            <m:sty m:val="p"/>
          </m:rPr>
          <m:t>∼</m:t>
        </m:r>
        <m:r>
          <m:t>1</m:t>
        </m:r>
        <m:r>
          <m:rPr>
            <m:nor/>
            <m:sty m:val="p"/>
          </m:rPr>
          <m:t>–</m:t>
        </m:r>
        <m:r>
          <m:t>10</m:t>
        </m:r>
      </m:oMath>
      <w:r>
        <w:rPr>
          <w:rFonts w:hint="eastAsia"/>
        </w:rPr>
        <w:t xml:space="preserve">)，使自由层的两个磁化稳态间势垒高度与室温热噪声能量</w:t>
      </w:r>
      <m:oMath>
        <m:sSub>
          <m:e>
            <m:r>
              <m:t>k</m:t>
            </m:r>
          </m:e>
          <m:sub>
            <m:r>
              <m:rPr>
                <m:sty m:val="p"/>
              </m:rPr>
              <m:t>B</m:t>
            </m:r>
          </m:sub>
        </m:sSub>
        <m:r>
          <m:t>T</m:t>
        </m:r>
      </m:oMath>
      <w:r>
        <w:rPr>
          <w:rFonts w:hint="eastAsia"/>
        </w:rPr>
        <w:t xml:space="preserve">可比，室温下磁矩即在P/AP之间连续随机翻转、电阻同步跳变；翻转概率则通过自旋转移矩</w:t>
      </w:r>
      <w:r>
        <w:t xml:space="preserve"> (STT) </w:t>
      </w:r>
      <w:r>
        <w:rPr>
          <w:rFonts w:hint="eastAsia"/>
        </w:rPr>
        <w:t xml:space="preserve">或自旋轨道矩</w:t>
      </w:r>
      <w:r>
        <w:t xml:space="preserve"> (SOT) </w:t>
      </w:r>
      <w:r>
        <w:rPr>
          <w:rFonts w:hint="eastAsia"/>
        </w:rPr>
        <w:t xml:space="preserve">电流注入所施加的等效力矩进行调节，</w:t>
      </w:r>
      <m:oMath>
        <m:sSub>
          <m:e>
            <m:r>
              <m:t>P</m:t>
            </m:r>
          </m:e>
          <m:sub>
            <m:r>
              <m:rPr>
                <m:sty m:val="p"/>
              </m:rPr>
              <m:t>s</m:t>
            </m:r>
            <m:r>
              <m:rPr>
                <m:sty m:val="p"/>
              </m:rPr>
              <m:t>w</m:t>
            </m:r>
          </m:sub>
        </m:sSub>
        <m:r>
          <m:rPr>
            <m:sty m:val="p"/>
          </m:rPr>
          <m:t>(</m:t>
        </m:r>
        <m:r>
          <m:t>V</m:t>
        </m:r>
        <m:r>
          <m:rPr>
            <m:sty m:val="p"/>
          </m:rPr>
          <m:t>)</m:t>
        </m:r>
      </m:oMath>
      <w:r>
        <w:rPr>
          <w:rFonts w:hint="eastAsia"/>
        </w:rPr>
        <w:t xml:space="preserve">对写入电压本征呈Sigmoid形状。该方案的吸引力在于多个维度的同时改善：单元与存储器工艺同源，面积占用仅相当于数个晶体管，远小于数字CMOS</w:t>
      </w:r>
      <w:r>
        <w:t xml:space="preserve"> </w:t>
      </w:r>
      <w:r>
        <w:rPr>
          <w:rFonts w:hint="eastAsia"/>
        </w:rPr>
        <w:t xml:space="preserve">p-bit的整条流水线</w:t>
      </w:r>
      <w:r>
        <w:rPr>
          <w:rStyle w:val="FootnoteReference"/>
        </w:rPr>
        <w:footnoteReference w:id="105"/>
      </w:r>
      <w:r>
        <w:rPr>
          <w:rFonts w:hint="eastAsia"/>
        </w:rPr>
        <w:t xml:space="preserve">；随机位能耗方面，读出自由振荡sMTJ的方式实测低至每位约2至20</w:t>
      </w:r>
      <w:r>
        <w:t xml:space="preserve"> fJ </w:t>
      </w:r>
      <w:r>
        <w:rPr>
          <w:rFonts w:hint="eastAsia"/>
        </w:rPr>
        <w:t xml:space="preserve">(含CMOS白化电路)</w:t>
      </w:r>
      <w:r>
        <w:rPr>
          <w:rStyle w:val="FootnoteReference"/>
        </w:rPr>
        <w:footnoteReference w:id="106"/>
      </w:r>
      <w:r>
        <w:rPr>
          <w:rFonts w:hint="eastAsia"/>
        </w:rPr>
        <w:t xml:space="preserve">；而CMOS</w:t>
      </w:r>
      <w:r>
        <w:t xml:space="preserve"> </w:t>
      </w:r>
      <w:r>
        <w:rPr>
          <w:rFonts w:hint="eastAsia"/>
        </w:rPr>
        <w:t xml:space="preserve">p-bit每次更新</w:t>
      </w:r>
      <w:r>
        <w:t xml:space="preserve"> </w:t>
      </w:r>
      <w:r>
        <w:rPr>
          <w:rFonts w:hint="eastAsia"/>
        </w:rPr>
        <w:t xml:space="preserve">(含加权和、阈值判决与随机数发生三段操作)</w:t>
      </w:r>
      <w:r>
        <w:t xml:space="preserve"> </w:t>
      </w:r>
      <w:r>
        <w:rPr>
          <w:rFonts w:hint="eastAsia"/>
        </w:rPr>
        <w:t xml:space="preserve">约需5</w:t>
      </w:r>
      <w:r>
        <w:t xml:space="preserve"> pJ</w:t>
      </w:r>
      <w:r>
        <w:rPr>
          <w:rStyle w:val="FootnoteReference"/>
        </w:rPr>
        <w:footnoteReference w:id="108"/>
      </w:r>
      <w:r>
        <w:rPr>
          <w:rFonts w:hint="eastAsia"/>
        </w:rPr>
        <w:t xml:space="preserve">，写脉冲采样方式的能耗依工作点而定，本文工作点的定量核算见1.3.2节；本征非易失，静态功耗接近零；超顺磁弛豫时间已实测短至8</w:t>
      </w:r>
      <w:r>
        <w:t xml:space="preserve"> ns</w:t>
      </w:r>
      <w:r>
        <w:rPr>
          <w:rStyle w:val="FootnoteReference"/>
        </w:rPr>
        <w:footnoteReference w:id="110"/>
      </w:r>
      <w:r>
        <w:rPr>
          <w:rFonts w:hint="eastAsia"/>
        </w:rPr>
        <w:t xml:space="preserve">、随机翻转的纳秒级操作已获演示</w:t>
      </w:r>
      <w:r>
        <w:rPr>
          <w:rStyle w:val="FootnoteReference"/>
        </w:rPr>
        <w:footnoteReference w:id="112"/>
      </w:r>
      <w:r>
        <w:rPr>
          <w:rFonts w:hint="eastAsia"/>
        </w:rPr>
        <w:t xml:space="preserve">，采样节拍不再受CMOS时钟约束。后续小节将结合实验结果说明其Sigmoid采样依据。</w:t>
      </w:r>
    </w:p>
    <w:p>
      <w:pPr>
        <w:pStyle w:val="BodyText"/>
      </w:pPr>
      <w:r>
        <w:rPr>
          <w:rFonts w:hint="eastAsia"/>
        </w:rPr>
        <w:t xml:space="preserve">基于其他材料的方案亦在探索之中。RRAM/忆阻器利用阻变材料的随机电报噪声产生随机性，结构最简且本身即为存算一体单元，但器件一致性仍弱于sMTJ；相变存储器</w:t>
      </w:r>
      <w:r>
        <w:t xml:space="preserve"> (PCRAM) </w:t>
      </w:r>
      <w:r>
        <w:rPr>
          <w:rFonts w:hint="eastAsia"/>
        </w:rPr>
        <w:t xml:space="preserve">利用相变材料晶态/非晶态的概率性转换，功耗与翻转延迟均不占优。综合而言，在新兴非易失器件路线内部，sMTJ依托量产MRAM工艺，在能效、集成度与工艺成熟度三个维度同时占优，是本文所采用的物理载体。</w:t>
      </w:r>
    </w:p>
    <w:bookmarkEnd w:id="114"/>
    <w:bookmarkStart w:id="117" w:name="p-bit阵列的系统组织两类基础架构"/>
    <w:p>
      <w:pPr>
        <w:pStyle w:val="Heading3"/>
      </w:pPr>
      <w:r>
        <w:t xml:space="preserve">1.1.6 </w:t>
      </w:r>
      <w:r>
        <w:rPr>
          <w:rFonts w:hint="eastAsia"/>
        </w:rPr>
        <w:t xml:space="preserve">p-bit阵列的系统组织：两类基础架构</w:t>
      </w:r>
    </w:p>
    <w:p>
      <w:pPr>
        <w:pStyle w:val="FirstParagraph"/>
      </w:pPr>
      <w:r>
        <w:rPr>
          <w:rFonts w:hint="eastAsia"/>
        </w:rPr>
        <w:t xml:space="preserve">单个p-bit不具备计算能力，需经阵列互联方能承担具体任务。围绕前节建立的伊辛框架，主流架构分为两类，分别对应伊辛模型的两种使用方式。</w:t>
      </w:r>
    </w:p>
    <w:p>
      <w:pPr>
        <w:pStyle w:val="BodyText"/>
      </w:pPr>
      <w:r>
        <w:rPr>
          <w:rFonts w:hint="eastAsia"/>
        </w:rPr>
        <w:t xml:space="preserve">概率自旋逻辑</w:t>
      </w:r>
      <w:r>
        <w:t xml:space="preserve"> (probabilistic spin logic, PSL) </w:t>
      </w:r>
      <w:r>
        <w:rPr>
          <w:rFonts w:hint="eastAsia"/>
        </w:rPr>
        <w:t xml:space="preserve">由p-bit的提出者Datta团队主导：每个p-bit对应一个自旋，p-bit间的互联电路实现耦合矩阵</w:t>
      </w:r>
      <m:oMath>
        <m:sSub>
          <m:e>
            <m:r>
              <m:t>J</m:t>
            </m:r>
          </m:e>
          <m:sub>
            <m:r>
              <m:t>i</m:t>
            </m:r>
            <m:r>
              <m:t>j</m:t>
            </m:r>
          </m:sub>
        </m:sSub>
      </m:oMath>
      <w:r>
        <w:rPr>
          <w:rFonts w:hint="eastAsia"/>
        </w:rPr>
        <w:t xml:space="preserve">，外部偏置电路提供外场</w:t>
      </w:r>
      <m:oMath>
        <m:sSub>
          <m:e>
            <m:r>
              <m:t>h</m:t>
            </m:r>
          </m:e>
          <m:sub>
            <m:r>
              <m:t>i</m:t>
            </m:r>
          </m:sub>
        </m:sSub>
      </m:oMath>
      <w:r>
        <w:rPr>
          <w:rFonts w:hint="eastAsia"/>
        </w:rPr>
        <w:t xml:space="preserve">，全阵列以异步方式持续演化并通过逐步降低等效温度</w:t>
      </w:r>
      <m:oMath>
        <m:r>
          <m:t>T</m:t>
        </m:r>
      </m:oMath>
      <w:r>
        <w:rPr>
          <w:rFonts w:hint="eastAsia"/>
        </w:rPr>
        <w:t xml:space="preserve">使系统自发向基态收敛。权重</w:t>
      </w:r>
      <m:oMath>
        <m:sSub>
          <m:e>
            <m:r>
              <m:t>J</m:t>
            </m:r>
          </m:e>
          <m:sub>
            <m:r>
              <m:t>i</m:t>
            </m:r>
            <m:r>
              <m:t>j</m:t>
            </m:r>
          </m:sub>
        </m:sSub>
      </m:oMath>
      <w:r>
        <w:rPr>
          <w:rFonts w:hint="eastAsia"/>
        </w:rPr>
        <w:t xml:space="preserve">的物理载体决定了架构的能效上限：数字方案以SRAM存储权重、以数字MAC计算局域场，精度高但回到冯诺依曼结构；模拟存算一体方案用RRAM/sMTJ交叉阵列直接在阵列内原位完成</w:t>
      </w:r>
      <m:oMath>
        <m:nary>
          <m:naryPr>
            <m:chr m:val="∑"/>
            <m:limLoc m:val="undOvr"/>
            <m:subHide m:val="off"/>
            <m:supHide m:val="on"/>
          </m:naryPr>
          <m:sub>
            <m:r>
              <m:t>j</m:t>
            </m:r>
          </m:sub>
          <m:sup>
            <m:r>
              <m:t>​</m:t>
            </m:r>
          </m:sup>
          <m:e>
            <m:sSub>
              <m:e>
                <m:r>
                  <m:t>J</m:t>
                </m:r>
              </m:e>
              <m:sub>
                <m:r>
                  <m:t>i</m:t>
                </m:r>
                <m:r>
                  <m:t>j</m:t>
                </m:r>
              </m:sub>
            </m:sSub>
          </m:e>
        </m:nary>
        <m:sSub>
          <m:e>
            <m:r>
              <m:t>s</m:t>
            </m:r>
          </m:e>
          <m:sub>
            <m:r>
              <m:t>j</m:t>
            </m:r>
          </m:sub>
        </m:sSub>
      </m:oMath>
      <w:r>
        <w:rPr>
          <w:rFonts w:hint="eastAsia"/>
        </w:rPr>
        <w:t xml:space="preserve">，彻底消除权重搬移。小规模sMTJ原理验证与面向稀疏伊辛问题的FPGA实现分别展示了该路线在器件级和系统级的可行性。</w:t>
      </w:r>
    </w:p>
    <w:p>
      <w:pPr>
        <w:pStyle w:val="BodyText"/>
      </w:pPr>
      <w:r>
        <w:rPr>
          <w:rFonts w:hint="eastAsia"/>
        </w:rPr>
        <w:t xml:space="preserve">概率二值神经网络是伊辛框架向前馈神经网络的延展。其核心区别在于更新顺序：PSL是全阵列异步演化至热平衡的无向网络，PBNN则是严格按层顺序执行的有向网络，每一层的p-bit在前一层输出固定的条件下按</w:t>
      </w:r>
      <m:oMath>
        <m:r>
          <m:t>σ</m:t>
        </m:r>
        <m:r>
          <m:rPr>
            <m:sty m:val="p"/>
          </m:rPr>
          <m:t>(</m:t>
        </m:r>
        <m:r>
          <m:rPr>
            <m:sty m:val="p"/>
          </m:rPr>
          <m:t>⋅</m:t>
        </m:r>
        <m:r>
          <m:rPr>
            <m:sty m:val="p"/>
          </m:rPr>
          <m:t>)</m:t>
        </m:r>
      </m:oMath>
      <w:r>
        <w:rPr>
          <w:rFonts w:hint="eastAsia"/>
        </w:rPr>
        <w:t xml:space="preserve">抽样，层间形成前馈流水线。这一结构差异使PBNN能够直接嫁接现代深度学习的训练框架</w:t>
      </w:r>
      <w:r>
        <w:t xml:space="preserve"> </w:t>
      </w:r>
      <w:r>
        <w:rPr>
          <w:rFonts w:hint="eastAsia"/>
        </w:rPr>
        <w:t xml:space="preserve">(反向传播、STE、批归一化)，而不必依赖玻尔兹曼机典型的对比散度训练。Singh等人</w:t>
      </w:r>
      <w:r>
        <w:rPr>
          <w:rStyle w:val="FootnoteReference"/>
        </w:rPr>
        <w:footnoteReference w:id="115"/>
      </w:r>
      <w:r>
        <w:rPr>
          <w:rFonts w:hint="eastAsia"/>
        </w:rPr>
        <w:t xml:space="preserve">在IEDM</w:t>
      </w:r>
      <w:r>
        <w:t xml:space="preserve"> </w:t>
      </w:r>
      <w:r>
        <w:rPr>
          <w:rFonts w:hint="eastAsia"/>
        </w:rPr>
        <w:t xml:space="preserve">2023首次给出了基于sMTJ的前馈概率神经网络硬件演示，把sMTJ与FPGA结合实现了按层有序更新，标志着p-bit从以优化为主的PSL向以学习为主的PBNN扩展；后续SOT-MRAM存算阵列工作则进一步表明该思路可向前馈推理硬件延展。</w:t>
      </w:r>
    </w:p>
    <w:p>
      <w:pPr>
        <w:pStyle w:val="BodyText"/>
      </w:pPr>
      <w:r>
        <w:rPr>
          <w:rFonts w:hint="eastAsia"/>
        </w:rPr>
        <w:t xml:space="preserve">PSL与PBNN共享同一套物理单元</w:t>
      </w:r>
      <w:r>
        <w:t xml:space="preserve"> </w:t>
      </w:r>
      <w:r>
        <w:rPr>
          <w:rFonts w:hint="eastAsia"/>
        </w:rPr>
        <w:t xml:space="preserve">(p-bit、权重阵列、偏置电路)，差异主要在控制时序与反向传播方法。这种共享性意味着同一物理阵列在不同外围调度下可分别承担组合优化与神经推断两类任务，这是概率二值硬件作为多任务加速单元的定位基础。在这两类基于瞬时采样的架构之外，同一概率二值器件还可作为储备池的动力学节点承担时序处理，即1.1.2节所引出的概率二值储备池计算；它与PSL、PBNN共享器件却利用其不同侧面，将在1.3.3节展开。</w:t>
      </w:r>
    </w:p>
    <w:bookmarkEnd w:id="117"/>
    <w:bookmarkEnd w:id="118"/>
    <w:bookmarkStart w:id="169" w:name="概率二值计算的器件-算法协同机制"/>
    <w:p>
      <w:pPr>
        <w:pStyle w:val="Heading2"/>
      </w:pPr>
      <w:r>
        <w:t xml:space="preserve">1.2 </w:t>
      </w:r>
      <w:r>
        <w:rPr>
          <w:rFonts w:hint="eastAsia"/>
        </w:rPr>
        <w:t xml:space="preserve">概率二值计算的器件-算法协同机制</w:t>
      </w:r>
    </w:p>
    <w:p>
      <w:pPr>
        <w:pStyle w:val="FirstParagraph"/>
      </w:pPr>
      <w:r>
        <w:rPr>
          <w:rFonts w:hint="eastAsia"/>
        </w:rPr>
        <w:t xml:space="preserve">前述伊辛优化、PBNN推断与概率二值储备池计算三类任务，本质上是以统计代替精度这一共同路径的不同实现：器件输出受控的随机二值事件，再由统计读出</w:t>
      </w:r>
      <w:r>
        <w:t xml:space="preserve"> </w:t>
      </w:r>
      <w:r>
        <w:rPr>
          <w:rFonts w:hint="eastAsia"/>
        </w:rPr>
        <w:t xml:space="preserve">(对样本求平均)</w:t>
      </w:r>
      <w:r>
        <w:t xml:space="preserve"> </w:t>
      </w:r>
      <w:r>
        <w:rPr>
          <w:rFonts w:hint="eastAsia"/>
        </w:rPr>
        <w:t xml:space="preserve">恢复所需的计算量，从而免去高精度算术。这一由随机事件到统计读出的协同主干为三者共享，差别仅在于器件的使用方式，即无记忆地使用</w:t>
      </w:r>
      <w:r>
        <w:t xml:space="preserve"> </w:t>
      </w:r>
      <w:r>
        <w:rPr>
          <w:rFonts w:hint="eastAsia"/>
        </w:rPr>
        <w:t xml:space="preserve">(相邻事件独立，对应伊辛与PBNN)</w:t>
      </w:r>
      <w:r>
        <w:t xml:space="preserve"> </w:t>
      </w:r>
      <w:r>
        <w:rPr>
          <w:rFonts w:hint="eastAsia"/>
        </w:rPr>
        <w:t xml:space="preserve">还是有状态地使用</w:t>
      </w:r>
      <w:r>
        <w:t xml:space="preserve"> </w:t>
      </w:r>
      <w:r>
        <w:rPr>
          <w:rFonts w:hint="eastAsia"/>
        </w:rPr>
        <w:t xml:space="preserve">(事件时域相关、磁化弛豫充当记忆，对应储备池)。本节按这两种使用方式展开器件-算法协同：先以PBNN为主线给出无记忆模式的完整对应</w:t>
      </w:r>
      <w:r>
        <w:t xml:space="preserve"> </w:t>
      </w:r>
      <w:r>
        <w:rPr>
          <w:rFonts w:hint="eastAsia"/>
        </w:rPr>
        <w:t xml:space="preserve">(1.2.1至1.2.2节)，因其最充分地串起单元级采样与阵列级求和；再给出有状态模式下储备池的器件-算法对应</w:t>
      </w:r>
      <w:r>
        <w:t xml:space="preserve"> </w:t>
      </w:r>
      <w:r>
        <w:rPr>
          <w:rFonts w:hint="eastAsia"/>
        </w:rPr>
        <w:t xml:space="preserve">(1.2.3节)；两种模式由同一sMTJ物理</w:t>
      </w:r>
      <w:r>
        <w:t xml:space="preserve"> </w:t>
      </w:r>
      <w:r>
        <w:rPr>
          <w:rFonts w:hint="eastAsia"/>
        </w:rPr>
        <w:t xml:space="preserve">(Sigmoid翻转概率及其时域翻转速率)</w:t>
      </w:r>
      <w:r>
        <w:t xml:space="preserve"> </w:t>
      </w:r>
      <w:r>
        <w:rPr>
          <w:rFonts w:hint="eastAsia"/>
        </w:rPr>
        <w:t xml:space="preserve">支撑，差异在于如何读出与是否保留状态，而非是否依赖统计；在此基础上，1.2.4节沿这两种利用方式分别梳理研究现状与尚未闭合的空白。</w:t>
      </w:r>
    </w:p>
    <w:bookmarkStart w:id="120" w:name="无记忆采样pbnn的前向数学与clt桥梁"/>
    <w:p>
      <w:pPr>
        <w:pStyle w:val="Heading3"/>
      </w:pPr>
      <w:r>
        <w:t xml:space="preserve">1.2.1 </w:t>
      </w:r>
      <w:r>
        <w:rPr>
          <w:rFonts w:hint="eastAsia"/>
        </w:rPr>
        <w:t xml:space="preserve">无记忆采样：PBNN的前向数学与CLT桥梁</w:t>
      </w:r>
    </w:p>
    <w:p>
      <w:pPr>
        <w:pStyle w:val="FirstParagraph"/>
      </w:pPr>
      <w:r>
        <w:rPr>
          <w:rFonts w:hint="eastAsia"/>
        </w:rPr>
        <w:t xml:space="preserve">沿用前述PBNN定义，其前向过程可由分布参数化、预激活的高斯化与反向传播三段构成。每个权重不再作为一个确定标量，而是由潜参数</w:t>
      </w:r>
      <m:oMath>
        <m:sSub>
          <m:e>
            <m:r>
              <m:t>θ</m:t>
            </m:r>
          </m:e>
          <m:sub>
            <m:r>
              <m:t>i</m:t>
            </m:r>
            <m:r>
              <m:t>j</m:t>
            </m:r>
          </m:sub>
        </m:sSub>
        <m:r>
          <m:rPr>
            <m:sty m:val="p"/>
          </m:rPr>
          <m:t>∈</m:t>
        </m:r>
        <m:r>
          <m:rPr>
            <m:scr m:val="double-struck"/>
            <m:sty m:val="p"/>
          </m:rPr>
          <m:t>R</m:t>
        </m:r>
      </m:oMath>
      <w:r>
        <w:rPr>
          <w:rFonts w:hint="eastAsia"/>
        </w:rPr>
        <w:t xml:space="preserve">通过Sigmoid函数映射为取</w:t>
      </w:r>
      <m:oMath>
        <m:r>
          <m:rPr>
            <m:sty m:val="p"/>
          </m:rPr>
          <m:t>+</m:t>
        </m:r>
        <m:r>
          <m:t>1</m:t>
        </m:r>
      </m:oMath>
      <w:r>
        <w:rPr>
          <w:rFonts w:hint="eastAsia"/>
        </w:rPr>
        <w:t xml:space="preserve">的概率</w:t>
      </w:r>
    </w:p>
    <w:p>
      <w:pPr>
        <w:pStyle w:val="BodyText"/>
      </w:pPr>
      <m:oMathPara>
        <m:oMathParaPr>
          <m:jc m:val="center"/>
        </m:oMathParaPr>
        <m:oMath>
          <m:sSub>
            <m:e>
              <m:r>
                <m:t>p</m:t>
              </m:r>
            </m:e>
            <m:sub>
              <m:r>
                <m:t>i</m:t>
              </m:r>
              <m:r>
                <m:t>j</m:t>
              </m:r>
            </m:sub>
          </m:sSub>
          <m:r>
            <m:t> </m:t>
          </m:r>
          <m:r>
            <m:rPr>
              <m:sty m:val="p"/>
            </m:rPr>
            <m:t>=</m:t>
          </m:r>
          <m:r>
            <m:t> </m:t>
          </m:r>
          <m:r>
            <m:t>σ</m:t>
          </m:r>
          <m:r>
            <m:rPr>
              <m:sty m:val="p"/>
            </m:rPr>
            <m:t>(</m:t>
          </m:r>
          <m:sSub>
            <m:e>
              <m:r>
                <m:t>θ</m:t>
              </m:r>
            </m:e>
            <m:sub>
              <m:r>
                <m:t>i</m:t>
              </m:r>
              <m:r>
                <m:t>j</m:t>
              </m:r>
            </m:sub>
          </m:sSub>
          <m:r>
            <m:rPr>
              <m:sty m:val="p"/>
            </m:rPr>
            <m:t>)</m:t>
          </m:r>
          <m:r>
            <m:t> </m:t>
          </m:r>
          <m:r>
            <m:rPr>
              <m:sty m:val="p"/>
            </m:rPr>
            <m:t>=</m:t>
          </m:r>
          <m:r>
            <m:t> </m:t>
          </m:r>
          <m:f>
            <m:fPr>
              <m:type m:val="bar"/>
            </m:fPr>
            <m:num>
              <m:r>
                <m:t>1</m:t>
              </m:r>
            </m:num>
            <m:den>
              <m:r>
                <m:t>1</m:t>
              </m:r>
              <m:r>
                <m:rPr>
                  <m:sty m:val="p"/>
                </m:rPr>
                <m:t>+</m:t>
              </m:r>
              <m:sSup>
                <m:e>
                  <m:r>
                    <m:t>e</m:t>
                  </m:r>
                </m:e>
                <m:sup>
                  <m:r>
                    <m:rPr>
                      <m:sty m:val="p"/>
                    </m:rPr>
                    <m:t>−</m:t>
                  </m:r>
                  <m:sSub>
                    <m:e>
                      <m:r>
                        <m:t>θ</m:t>
                      </m:r>
                    </m:e>
                    <m:sub>
                      <m:r>
                        <m:t>i</m:t>
                      </m:r>
                      <m:r>
                        <m:t>j</m:t>
                      </m:r>
                    </m:sub>
                  </m:sSub>
                </m:sup>
              </m:sSup>
            </m:den>
          </m:f>
          <m:r>
            <m:rPr>
              <m:sty m:val="p"/>
            </m:rPr>
            <m:t>,</m:t>
          </m:r>
          <m:r>
            <m:t>  </m:t>
          </m:r>
          <m:sSub>
            <m:e>
              <m:r>
                <m:t>w</m:t>
              </m:r>
            </m:e>
            <m:sub>
              <m:r>
                <m:t>i</m:t>
              </m:r>
              <m:r>
                <m:t>j</m:t>
              </m:r>
            </m:sub>
          </m:sSub>
          <m:r>
            <m:rPr>
              <m:sty m:val="p"/>
            </m:rPr>
            <m:t>∼</m:t>
          </m:r>
          <m:r>
            <m:rPr>
              <m:sty m:val="p"/>
            </m:rPr>
            <m:t>B</m:t>
          </m:r>
          <m:r>
            <m:rPr>
              <m:sty m:val="p"/>
            </m:rPr>
            <m:t>e</m:t>
          </m:r>
          <m:r>
            <m:rPr>
              <m:sty m:val="p"/>
            </m:rPr>
            <m:t>r</m:t>
          </m:r>
          <m:r>
            <m:rPr>
              <m:sty m:val="p"/>
            </m:rPr>
            <m:t>n</m:t>
          </m:r>
          <m:r>
            <m:rPr>
              <m:sty m:val="p"/>
            </m:rPr>
            <m:t>(</m:t>
          </m:r>
          <m:sSub>
            <m:e>
              <m:r>
                <m:t>p</m:t>
              </m:r>
            </m:e>
            <m:sub>
              <m:r>
                <m:t>i</m:t>
              </m:r>
              <m:r>
                <m:t>j</m:t>
              </m:r>
            </m:sub>
          </m:sSub>
          <m:r>
            <m:rPr>
              <m:sty m:val="p"/>
            </m:rPr>
            <m:t>)</m:t>
          </m:r>
          <m:r>
            <m:rPr>
              <m:sty m:val="p"/>
            </m:rPr>
            <m:t>,</m:t>
          </m:r>
          <m:r>
            <m:t> </m:t>
          </m:r>
          <m:r>
            <m:t> </m:t>
          </m:r>
          <m:sSub>
            <m:e>
              <m:r>
                <m:t>w</m:t>
              </m:r>
            </m:e>
            <m:sub>
              <m:r>
                <m:t>i</m:t>
              </m:r>
              <m:r>
                <m:t>j</m:t>
              </m:r>
            </m:sub>
          </m:sSub>
          <m:r>
            <m:rPr>
              <m:sty m:val="p"/>
            </m:rPr>
            <m:t>∈</m:t>
          </m:r>
          <m:r>
            <m:rPr>
              <m:sty m:val="p"/>
            </m:rPr>
            <m:t>{</m:t>
          </m:r>
          <m:r>
            <m:rPr>
              <m:sty m:val="p"/>
            </m:rPr>
            <m:t>−</m:t>
          </m:r>
          <m:r>
            <m:t>1</m:t>
          </m:r>
          <m:r>
            <m:rPr>
              <m:sty m:val="p"/>
            </m:rPr>
            <m:t>,</m:t>
          </m:r>
          <m:r>
            <m:t> </m:t>
          </m:r>
          <m:r>
            <m:rPr>
              <m:sty m:val="p"/>
            </m:rPr>
            <m:t>+</m:t>
          </m:r>
          <m:r>
            <m:t>1</m:t>
          </m:r>
          <m:r>
            <m:rPr>
              <m:sty m:val="p"/>
            </m:rPr>
            <m:t>}</m:t>
          </m:r>
          <m:r>
            <m:rPr>
              <m:sty m:val="p"/>
            </m:rPr>
            <m:t>.</m:t>
          </m:r>
        </m:oMath>
      </m:oMathPara>
    </w:p>
    <w:p>
      <w:pPr>
        <w:pStyle w:val="FirstParagraph"/>
      </w:pPr>
      <w:r>
        <w:rPr>
          <w:rFonts w:hint="eastAsia"/>
        </w:rPr>
        <w:t xml:space="preserve">这是前节p-bit定义在权重维度上的直接应用，每个权重对应一个以</w:t>
      </w:r>
      <m:oMath>
        <m:sSub>
          <m:e>
            <m:r>
              <m:t>θ</m:t>
            </m:r>
          </m:e>
          <m:sub>
            <m:r>
              <m:t>i</m:t>
            </m:r>
            <m:r>
              <m:t>j</m:t>
            </m:r>
          </m:sub>
        </m:sSub>
      </m:oMath>
      <w:r>
        <w:rPr>
          <w:rFonts w:hint="eastAsia"/>
        </w:rPr>
        <w:t xml:space="preserve">为偏置的p-bit。</w:t>
      </w:r>
    </w:p>
    <w:p>
      <w:pPr>
        <w:pStyle w:val="BodyText"/>
      </w:pPr>
      <w:r>
        <w:rPr>
          <w:rFonts w:hint="eastAsia"/>
        </w:rPr>
        <w:t xml:space="preserve">给定输入</w:t>
      </w:r>
      <m:oMath>
        <m:r>
          <m:rPr>
            <m:sty m:val="p"/>
          </m:rPr>
          <m:t>{</m:t>
        </m:r>
        <m:sSub>
          <m:e>
            <m:r>
              <m:t>x</m:t>
            </m:r>
          </m:e>
          <m:sub>
            <m:r>
              <m:t>j</m:t>
            </m:r>
          </m:sub>
        </m:sSub>
        <m:sSubSup>
          <m:e>
            <m:r>
              <m:rPr>
                <m:sty m:val="p"/>
              </m:rPr>
              <m:t>}</m:t>
            </m:r>
          </m:e>
          <m:sub>
            <m:r>
              <m:t>j</m:t>
            </m:r>
            <m:r>
              <m:rPr>
                <m:sty m:val="p"/>
              </m:rPr>
              <m:t>=</m:t>
            </m:r>
            <m:r>
              <m:t>1</m:t>
            </m:r>
          </m:sub>
          <m:sup>
            <m:r>
              <m:t>N</m:t>
            </m:r>
          </m:sup>
        </m:sSubSup>
      </m:oMath>
      <w:r>
        <w:rPr>
          <w:rFonts w:hint="eastAsia"/>
        </w:rPr>
        <w:t xml:space="preserve">，第</w:t>
      </w:r>
      <m:oMath>
        <m:r>
          <m:t>i</m:t>
        </m:r>
      </m:oMath>
      <w:r>
        <w:rPr>
          <w:rFonts w:hint="eastAsia"/>
        </w:rPr>
        <w:t xml:space="preserve">个神经元的预激活</w:t>
      </w:r>
    </w:p>
    <w:p>
      <w:pPr>
        <w:pStyle w:val="BodyText"/>
      </w:pPr>
      <m:oMathPara>
        <m:oMathParaPr>
          <m:jc m:val="center"/>
        </m:oMathParaPr>
        <m:oMath>
          <m:sSub>
            <m:e>
              <m:r>
                <m:t>z</m:t>
              </m:r>
            </m:e>
            <m:sub>
              <m:r>
                <m:t>i</m:t>
              </m:r>
            </m:sub>
          </m:sSub>
          <m:r>
            <m:t> </m:t>
          </m:r>
          <m:r>
            <m:rPr>
              <m:sty m:val="p"/>
            </m:rPr>
            <m:t>=</m:t>
          </m:r>
          <m:r>
            <m:t> </m:t>
          </m:r>
          <m:nary>
            <m:naryPr>
              <m:chr m:val="∑"/>
              <m:limLoc m:val="undOvr"/>
              <m:subHide m:val="off"/>
              <m:supHide m:val="off"/>
            </m:naryPr>
            <m:sub>
              <m:r>
                <m:t>j</m:t>
              </m:r>
              <m:r>
                <m:rPr>
                  <m:sty m:val="p"/>
                </m:rPr>
                <m:t>=</m:t>
              </m:r>
              <m:r>
                <m:t>1</m:t>
              </m:r>
            </m:sub>
            <m:sup>
              <m:r>
                <m:t>N</m:t>
              </m:r>
            </m:sup>
            <m:e>
              <m:sSub>
                <m:e>
                  <m:r>
                    <m:t>w</m:t>
                  </m:r>
                </m:e>
                <m:sub>
                  <m:r>
                    <m:t>i</m:t>
                  </m:r>
                  <m:r>
                    <m:t>j</m:t>
                  </m:r>
                </m:sub>
              </m:sSub>
            </m:e>
          </m:nary>
          <m:r>
            <m:t> </m:t>
          </m:r>
          <m:sSub>
            <m:e>
              <m:r>
                <m:t>x</m:t>
              </m:r>
            </m:e>
            <m:sub>
              <m:r>
                <m:t>j</m:t>
              </m:r>
            </m:sub>
          </m:sSub>
        </m:oMath>
      </m:oMathPara>
    </w:p>
    <w:p>
      <w:pPr>
        <w:pStyle w:val="FirstParagraph"/>
      </w:pPr>
      <w:r>
        <w:rPr>
          <w:rFonts w:hint="eastAsia"/>
        </w:rPr>
        <w:t xml:space="preserve">是</w:t>
      </w:r>
      <m:oMath>
        <m:r>
          <m:t>N</m:t>
        </m:r>
      </m:oMath>
      <w:r>
        <w:rPr>
          <w:rFonts w:hint="eastAsia"/>
        </w:rPr>
        <w:t xml:space="preserve">个独立有界随机变量之和。由Lyapunov中心极限定理，当</w:t>
      </w:r>
      <m:oMath>
        <m:r>
          <m:t>N</m:t>
        </m:r>
      </m:oMath>
      <w:r>
        <w:rPr>
          <w:rFonts w:hint="eastAsia"/>
        </w:rPr>
        <w:t xml:space="preserve">充分大时其分布收敛至高斯：</w:t>
      </w:r>
    </w:p>
    <w:p>
      <w:pPr>
        <w:pStyle w:val="BodyText"/>
      </w:pPr>
      <m:oMathPara>
        <m:oMathParaPr>
          <m:jc m:val="center"/>
        </m:oMathParaPr>
        <m:oMath>
          <m:sSub>
            <m:e>
              <m:r>
                <m:t>z</m:t>
              </m:r>
            </m:e>
            <m:sub>
              <m:r>
                <m:t>i</m:t>
              </m:r>
            </m:sub>
          </m:sSub>
          <m:r>
            <m:t> </m:t>
          </m:r>
          <m:r>
            <m:rPr>
              <m:sty m:val="p"/>
            </m:rPr>
            <m:t>∼</m:t>
          </m:r>
          <m:r>
            <m:t> </m:t>
          </m:r>
          <m:r>
            <m:rPr>
              <m:scr m:val="script"/>
              <m:sty m:val="p"/>
            </m:rPr>
            <m:t>N</m:t>
          </m:r>
          <m:r>
            <m:rPr>
              <m:sty m:val="p"/>
            </m:rPr>
            <m:t>(</m:t>
          </m:r>
          <m:sSub>
            <m:e>
              <m:r>
                <m:t>μ</m:t>
              </m:r>
            </m:e>
            <m:sub>
              <m:r>
                <m:t>i</m:t>
              </m:r>
            </m:sub>
          </m:sSub>
          <m:r>
            <m:rPr>
              <m:sty m:val="p"/>
            </m:rPr>
            <m:t>,</m:t>
          </m:r>
          <m:r>
            <m:t> </m:t>
          </m:r>
          <m:sSubSup>
            <m:e>
              <m:r>
                <m:t>σ</m:t>
              </m:r>
            </m:e>
            <m:sub>
              <m:r>
                <m:t>i</m:t>
              </m:r>
            </m:sub>
            <m:sup>
              <m:r>
                <m:t>2</m:t>
              </m:r>
            </m:sup>
          </m:sSubSup>
          <m:r>
            <m:rPr>
              <m:sty m:val="p"/>
            </m:rPr>
            <m:t>)</m:t>
          </m:r>
          <m:r>
            <m:rPr>
              <m:sty m:val="p"/>
            </m:rPr>
            <m:t>,</m:t>
          </m:r>
          <m:r>
            <m:t>  </m:t>
          </m:r>
          <m:sSub>
            <m:e>
              <m:r>
                <m:t>μ</m:t>
              </m:r>
            </m:e>
            <m:sub>
              <m:r>
                <m:t>i</m:t>
              </m:r>
            </m:sub>
          </m:sSub>
          <m:r>
            <m:rPr>
              <m:sty m:val="p"/>
            </m:rPr>
            <m:t>=</m:t>
          </m:r>
          <m:nary>
            <m:naryPr>
              <m:chr m:val="∑"/>
              <m:limLoc m:val="undOvr"/>
              <m:subHide m:val="off"/>
              <m:supHide m:val="on"/>
            </m:naryPr>
            <m:sub>
              <m:r>
                <m:t>j</m:t>
              </m:r>
            </m:sub>
            <m:sup>
              <m:r>
                <m:t>​</m:t>
              </m:r>
            </m:sup>
            <m:e>
              <m:r>
                <m:rPr>
                  <m:sty m:val="p"/>
                </m:rPr>
                <m:t>(</m:t>
              </m:r>
            </m:e>
          </m:nary>
          <m:r>
            <m:t>2</m:t>
          </m:r>
          <m:sSub>
            <m:e>
              <m:r>
                <m:t>p</m:t>
              </m:r>
            </m:e>
            <m:sub>
              <m:r>
                <m:t>i</m:t>
              </m:r>
              <m:r>
                <m:t>j</m:t>
              </m:r>
            </m:sub>
          </m:sSub>
          <m:r>
            <m:rPr>
              <m:sty m:val="p"/>
            </m:rPr>
            <m:t>−</m:t>
          </m:r>
          <m:r>
            <m:t>1</m:t>
          </m:r>
          <m:r>
            <m:rPr>
              <m:sty m:val="p"/>
            </m:rPr>
            <m:t>)</m:t>
          </m:r>
          <m:r>
            <m:t> </m:t>
          </m:r>
          <m:sSub>
            <m:e>
              <m:r>
                <m:t>x</m:t>
              </m:r>
            </m:e>
            <m:sub>
              <m:r>
                <m:t>j</m:t>
              </m:r>
            </m:sub>
          </m:sSub>
          <m:r>
            <m:rPr>
              <m:sty m:val="p"/>
            </m:rPr>
            <m:t>,</m:t>
          </m:r>
          <m:r>
            <m:t>  </m:t>
          </m:r>
          <m:sSubSup>
            <m:e>
              <m:r>
                <m:t>σ</m:t>
              </m:r>
            </m:e>
            <m:sub>
              <m:r>
                <m:t>i</m:t>
              </m:r>
            </m:sub>
            <m:sup>
              <m:r>
                <m:t>2</m:t>
              </m:r>
            </m:sup>
          </m:sSubSup>
          <m:r>
            <m:rPr>
              <m:sty m:val="p"/>
            </m:rPr>
            <m:t>=</m:t>
          </m:r>
          <m:nary>
            <m:naryPr>
              <m:chr m:val="∑"/>
              <m:limLoc m:val="undOvr"/>
              <m:subHide m:val="off"/>
              <m:supHide m:val="on"/>
            </m:naryPr>
            <m:sub>
              <m:r>
                <m:t>j</m:t>
              </m:r>
            </m:sub>
            <m:sup>
              <m:r>
                <m:t>​</m:t>
              </m:r>
            </m:sup>
            <m:e>
              <m:r>
                <m:t>4</m:t>
              </m:r>
            </m:e>
          </m:nary>
          <m:r>
            <m:t> </m:t>
          </m:r>
          <m:sSub>
            <m:e>
              <m:r>
                <m:t>p</m:t>
              </m:r>
            </m:e>
            <m:sub>
              <m:r>
                <m:t>i</m:t>
              </m:r>
              <m:r>
                <m:t>j</m:t>
              </m:r>
            </m:sub>
          </m:sSub>
          <m:r>
            <m:rPr>
              <m:sty m:val="p"/>
            </m:rPr>
            <m:t>(</m:t>
          </m:r>
          <m:r>
            <m:t>1</m:t>
          </m:r>
          <m:r>
            <m:rPr>
              <m:sty m:val="p"/>
            </m:rPr>
            <m:t>−</m:t>
          </m:r>
          <m:sSub>
            <m:e>
              <m:r>
                <m:t>p</m:t>
              </m:r>
            </m:e>
            <m:sub>
              <m:r>
                <m:t>i</m:t>
              </m:r>
              <m:r>
                <m:t>j</m:t>
              </m:r>
            </m:sub>
          </m:sSub>
          <m:r>
            <m:rPr>
              <m:sty m:val="p"/>
            </m:rPr>
            <m:t>)</m:t>
          </m:r>
          <m:r>
            <m:t> </m:t>
          </m:r>
          <m:sSubSup>
            <m:e>
              <m:r>
                <m:t>x</m:t>
              </m:r>
            </m:e>
            <m:sub>
              <m:r>
                <m:t>j</m:t>
              </m:r>
            </m:sub>
            <m:sup>
              <m:r>
                <m:t>2</m:t>
              </m:r>
            </m:sup>
          </m:sSubSup>
          <m:r>
            <m:rPr>
              <m:sty m:val="p"/>
            </m:rPr>
            <m:t>.</m:t>
          </m:r>
        </m:oMath>
      </m:oMathPara>
    </w:p>
    <w:p>
      <w:pPr>
        <w:pStyle w:val="FirstParagraph"/>
      </w:pPr>
      <w:r>
        <w:rPr>
          <w:rFonts w:hint="eastAsia"/>
        </w:rPr>
        <w:t xml:space="preserve">二值激活的输出概率随即由标准正态累积分布函数给出</w:t>
      </w:r>
      <m:oMath>
        <m:r>
          <m:t>P</m:t>
        </m:r>
        <m:r>
          <m:rPr>
            <m:sty m:val="p"/>
          </m:rPr>
          <m:t>(</m:t>
        </m:r>
        <m:r>
          <m:rPr>
            <m:sty m:val="p"/>
          </m:rPr>
          <m:t>s</m:t>
        </m:r>
        <m:r>
          <m:rPr>
            <m:sty m:val="p"/>
          </m:rPr>
          <m:t>i</m:t>
        </m:r>
        <m:r>
          <m:rPr>
            <m:sty m:val="p"/>
          </m:rPr>
          <m:t>g</m:t>
        </m:r>
        <m:r>
          <m:rPr>
            <m:sty m:val="p"/>
          </m:rPr>
          <m:t>n</m:t>
        </m:r>
        <m:r>
          <m:rPr>
            <m:sty m:val="p"/>
          </m:rPr>
          <m:t>(</m:t>
        </m:r>
        <m:sSub>
          <m:e>
            <m:r>
              <m:t>z</m:t>
            </m:r>
          </m:e>
          <m:sub>
            <m:r>
              <m:t>i</m:t>
            </m:r>
          </m:sub>
        </m:sSub>
        <m:r>
          <m:rPr>
            <m:sty m:val="p"/>
          </m:rPr>
          <m:t>)</m:t>
        </m:r>
        <m:r>
          <m:rPr>
            <m:sty m:val="p"/>
          </m:rPr>
          <m:t>=</m:t>
        </m:r>
        <m:r>
          <m:rPr>
            <m:sty m:val="p"/>
          </m:rPr>
          <m:t>+</m:t>
        </m:r>
        <m:r>
          <m:t>1</m:t>
        </m:r>
        <m:r>
          <m:rPr>
            <m:sty m:val="p"/>
          </m:rPr>
          <m:t>)</m:t>
        </m:r>
        <m:r>
          <m:rPr>
            <m:sty m:val="p"/>
          </m:rPr>
          <m:t>=</m:t>
        </m:r>
        <m:r>
          <m:rPr>
            <m:sty m:val="p"/>
          </m:rPr>
          <m:t>Φ</m:t>
        </m:r>
        <m:r>
          <m:rPr>
            <m:sty m:val="p"/>
          </m:rPr>
          <m:t>(</m:t>
        </m:r>
        <m:sSub>
          <m:e>
            <m:r>
              <m:t>μ</m:t>
            </m:r>
          </m:e>
          <m:sub>
            <m:r>
              <m:t>i</m:t>
            </m:r>
          </m:sub>
        </m:sSub>
        <m:r>
          <m:rPr>
            <m:sty m:val="p"/>
          </m:rPr>
          <m:t>/</m:t>
        </m:r>
        <m:sSub>
          <m:e>
            <m:r>
              <m:t>σ</m:t>
            </m:r>
          </m:e>
          <m:sub>
            <m:r>
              <m:t>i</m:t>
            </m:r>
          </m:sub>
        </m:sSub>
        <m:r>
          <m:rPr>
            <m:sty m:val="p"/>
          </m:rPr>
          <m:t>)</m:t>
        </m:r>
      </m:oMath>
      <w:r>
        <w:rPr>
          <w:rFonts w:hint="eastAsia"/>
        </w:rPr>
        <w:t xml:space="preserve">。该闭式表达允许训练时梯度经</w:t>
      </w:r>
      <m:oMath>
        <m:sSub>
          <m:e>
            <m:r>
              <m:t>μ</m:t>
            </m:r>
          </m:e>
          <m:sub>
            <m:r>
              <m:t>i</m:t>
            </m:r>
          </m:sub>
        </m:sSub>
        <m:r>
          <m:rPr>
            <m:sty m:val="p"/>
          </m:rPr>
          <m:t>,</m:t>
        </m:r>
        <m:r>
          <m:t> </m:t>
        </m:r>
        <m:sSub>
          <m:e>
            <m:r>
              <m:t>σ</m:t>
            </m:r>
          </m:e>
          <m:sub>
            <m:r>
              <m:t>i</m:t>
            </m:r>
          </m:sub>
        </m:sSub>
      </m:oMath>
      <w:r>
        <w:rPr>
          <w:rFonts w:hint="eastAsia"/>
        </w:rPr>
        <w:t xml:space="preserve">回传至</w:t>
      </w:r>
      <m:oMath>
        <m:sSub>
          <m:e>
            <m:r>
              <m:t>θ</m:t>
            </m:r>
          </m:e>
          <m:sub>
            <m:r>
              <m:t>i</m:t>
            </m:r>
            <m:r>
              <m:t>j</m:t>
            </m:r>
          </m:sub>
        </m:sSub>
      </m:oMath>
      <w:r>
        <w:rPr>
          <w:rFonts w:hint="eastAsia"/>
        </w:rPr>
        <w:t xml:space="preserve">，绕过对</w:t>
      </w:r>
      <m:oMath>
        <m:sSup>
          <m:e>
            <m:r>
              <m:t>2</m:t>
            </m:r>
          </m:e>
          <m:sup>
            <m:r>
              <m:t>N</m:t>
            </m:r>
          </m:sup>
        </m:sSup>
      </m:oMath>
      <w:r>
        <w:rPr>
          <w:rFonts w:hint="eastAsia"/>
        </w:rPr>
        <w:t xml:space="preserve">个权重组合的显式枚举；推理时则可选择显式抽取二值样本以同时获得集成式预测与不确定性估计。</w:t>
      </w:r>
    </w:p>
    <w:p>
      <w:pPr>
        <w:pStyle w:val="BodyText"/>
      </w:pPr>
      <w:r>
        <w:rPr>
          <w:rFonts w:hint="eastAsia"/>
        </w:rPr>
        <w:t xml:space="preserve">反向传播方面，对二值化算子</w:t>
      </w:r>
      <m:oMath>
        <m:r>
          <m:rPr>
            <m:sty m:val="p"/>
          </m:rPr>
          <m:t>s</m:t>
        </m:r>
        <m:r>
          <m:rPr>
            <m:sty m:val="p"/>
          </m:rPr>
          <m:t>i</m:t>
        </m:r>
        <m:r>
          <m:rPr>
            <m:sty m:val="p"/>
          </m:rPr>
          <m:t>g</m:t>
        </m:r>
        <m:r>
          <m:rPr>
            <m:sty m:val="p"/>
          </m:rPr>
          <m:t>n</m:t>
        </m:r>
        <m:r>
          <m:rPr>
            <m:sty m:val="p"/>
          </m:rPr>
          <m:t>(</m:t>
        </m:r>
        <m:r>
          <m:rPr>
            <m:sty m:val="p"/>
          </m:rPr>
          <m:t>⋅</m:t>
        </m:r>
        <m:r>
          <m:rPr>
            <m:sty m:val="p"/>
          </m:rPr>
          <m:t>)</m:t>
        </m:r>
      </m:oMath>
      <w:r>
        <w:rPr>
          <w:rFonts w:hint="eastAsia"/>
        </w:rPr>
        <w:t xml:space="preserve">的梯度采用Bengio等人</w:t>
      </w:r>
      <w:r>
        <w:rPr>
          <w:rStyle w:val="FootnoteReference"/>
        </w:rPr>
        <w:footnoteReference w:id="119"/>
      </w:r>
      <w:r>
        <w:rPr>
          <w:rFonts w:hint="eastAsia"/>
        </w:rPr>
        <w:t xml:space="preserve">提出的直通估计器</w:t>
      </w:r>
      <w:r>
        <w:t xml:space="preserve"> (STE) </w:t>
      </w:r>
      <w:r>
        <w:rPr>
          <w:rFonts w:hint="eastAsia"/>
        </w:rPr>
        <w:t xml:space="preserve">在单位区间内以线性近似直通传递；对概率采样本身，前述CLT高斯近似已可微，梯度</w:t>
      </w:r>
      <m:oMath>
        <m:r>
          <m:rPr>
            <m:sty m:val="p"/>
          </m:rPr>
          <m:t>∂</m:t>
        </m:r>
        <m:sSub>
          <m:e>
            <m:r>
              <m:t>μ</m:t>
            </m:r>
          </m:e>
          <m:sub>
            <m:r>
              <m:t>i</m:t>
            </m:r>
          </m:sub>
        </m:sSub>
        <m:r>
          <m:rPr>
            <m:sty m:val="p"/>
          </m:rPr>
          <m:t>/</m:t>
        </m:r>
        <m:r>
          <m:rPr>
            <m:sty m:val="p"/>
          </m:rPr>
          <m:t>∂</m:t>
        </m:r>
        <m:sSub>
          <m:e>
            <m:r>
              <m:t>θ</m:t>
            </m:r>
          </m:e>
          <m:sub>
            <m:r>
              <m:t>i</m:t>
            </m:r>
            <m:r>
              <m:t>j</m:t>
            </m:r>
          </m:sub>
        </m:sSub>
      </m:oMath>
      <w:r>
        <w:rPr>
          <w:rFonts w:hint="eastAsia"/>
        </w:rPr>
        <w:t xml:space="preserve">与</w:t>
      </w:r>
      <m:oMath>
        <m:r>
          <m:rPr>
            <m:sty m:val="p"/>
          </m:rPr>
          <m:t>∂</m:t>
        </m:r>
        <m:sSubSup>
          <m:e>
            <m:r>
              <m:t>σ</m:t>
            </m:r>
          </m:e>
          <m:sub>
            <m:r>
              <m:t>i</m:t>
            </m:r>
          </m:sub>
          <m:sup>
            <m:r>
              <m:t>2</m:t>
            </m:r>
          </m:sup>
        </m:sSubSup>
        <m:r>
          <m:rPr>
            <m:sty m:val="p"/>
          </m:rPr>
          <m:t>/</m:t>
        </m:r>
        <m:r>
          <m:rPr>
            <m:sty m:val="p"/>
          </m:rPr>
          <m:t>∂</m:t>
        </m:r>
        <m:sSub>
          <m:e>
            <m:r>
              <m:t>θ</m:t>
            </m:r>
          </m:e>
          <m:sub>
            <m:r>
              <m:t>i</m:t>
            </m:r>
            <m:r>
              <m:t>j</m:t>
            </m:r>
          </m:sub>
        </m:sSub>
      </m:oMath>
      <w:r>
        <w:rPr>
          <w:rFonts w:hint="eastAsia"/>
        </w:rPr>
        <w:t xml:space="preserve">可直接计算。该框架在数学上等价于一类变分推断，梯度估计方差受CLT自然压缩，训练稳定性显著优于逐样本反向的REINFORCE类估计器。</w:t>
      </w:r>
    </w:p>
    <w:p>
      <w:pPr>
        <w:pStyle w:val="BodyText"/>
      </w:pPr>
      <w:r>
        <w:rPr>
          <w:rFonts w:hint="eastAsia"/>
        </w:rPr>
        <w:t xml:space="preserve">该框架对硬件提出两项具体需求：前向过程需要</w:t>
      </w:r>
      <m:oMath>
        <m:sSubSup>
          <m:e>
            <m:r>
              <m:t>w</m:t>
            </m:r>
          </m:e>
          <m:sub>
            <m:r>
              <m:t>i</m:t>
            </m:r>
            <m:r>
              <m:t>j</m:t>
            </m:r>
          </m:sub>
          <m:sup>
            <m:r>
              <m:rPr>
                <m:sty m:val="p"/>
              </m:rPr>
              <m:t>(</m:t>
            </m:r>
            <m:r>
              <m:t>t</m:t>
            </m:r>
            <m:r>
              <m:rPr>
                <m:sty m:val="p"/>
              </m:rPr>
              <m:t>)</m:t>
            </m:r>
          </m:sup>
        </m:sSubSup>
        <m:r>
          <m:rPr>
            <m:sty m:val="p"/>
          </m:rPr>
          <m:t>∼</m:t>
        </m:r>
        <m:r>
          <m:rPr>
            <m:sty m:val="p"/>
          </m:rPr>
          <m:t>B</m:t>
        </m:r>
        <m:r>
          <m:rPr>
            <m:sty m:val="p"/>
          </m:rPr>
          <m:t>e</m:t>
        </m:r>
        <m:r>
          <m:rPr>
            <m:sty m:val="p"/>
          </m:rPr>
          <m:t>r</m:t>
        </m:r>
        <m:r>
          <m:rPr>
            <m:sty m:val="p"/>
          </m:rPr>
          <m:t>n</m:t>
        </m:r>
        <m:r>
          <m:rPr>
            <m:sty m:val="p"/>
          </m:rPr>
          <m:t>(</m:t>
        </m:r>
        <m:sSub>
          <m:e>
            <m:r>
              <m:t>p</m:t>
            </m:r>
          </m:e>
          <m:sub>
            <m:r>
              <m:t>i</m:t>
            </m:r>
            <m:r>
              <m:t>j</m:t>
            </m:r>
          </m:sub>
        </m:sSub>
        <m:r>
          <m:rPr>
            <m:sty m:val="p"/>
          </m:rPr>
          <m:t>)</m:t>
        </m:r>
      </m:oMath>
      <w:r>
        <w:rPr>
          <w:rFonts w:hint="eastAsia"/>
        </w:rPr>
        <w:t xml:space="preserve">的单比特伪/真随机源以及标准的XNOR-popcount乘加；预激活的高斯统计是大量独立伯努利项之和的自然结果，因而并不需要高精度数值累加器。该自由度直接决定了PBNN在物理实现上的可塑性：只要器件本征能产生受控伯努利样本，且同一行内各单元的采样相互独立，CLT高斯化就由阵列级电流求和直接给出；共享写线压降与器件间失配等相关性对独立性前提的侵蚀，属第四章非理想性建模的对象。</w:t>
      </w:r>
    </w:p>
    <w:bookmarkEnd w:id="120"/>
    <w:bookmarkStart w:id="136" w:name="器件物理sigmoid翻转概率与时域翻转速率"/>
    <w:p>
      <w:pPr>
        <w:pStyle w:val="Heading3"/>
      </w:pPr>
      <w:r>
        <w:t xml:space="preserve">1.2.2 </w:t>
      </w:r>
      <w:r>
        <w:rPr>
          <w:rFonts w:hint="eastAsia"/>
        </w:rPr>
        <w:t xml:space="preserve">器件物理：Sigmoid翻转概率与时域翻转速率</w:t>
      </w:r>
    </w:p>
    <w:p>
      <w:pPr>
        <w:pStyle w:val="FirstParagraph"/>
      </w:pPr>
      <w:r>
        <w:rPr>
          <w:rFonts w:hint="eastAsia"/>
        </w:rPr>
        <w:t xml:space="preserve">前节已指出sMTJ的翻转概率对写入电压呈Sigmoid形状。此处给出其物理起源，并展示它如何与PBNN的算法流程精确对齐。</w:t>
      </w:r>
    </w:p>
    <w:p>
      <w:pPr>
        <w:pStyle w:val="BodyText"/>
      </w:pPr>
      <w:r>
        <w:rPr>
          <w:rFonts w:hint="eastAsia"/>
        </w:rPr>
        <w:t xml:space="preserve">低势垒MTJ在热激活翻转机制下，单次电压脉冲的翻转概率由Arrhenius型律给出</w:t>
      </w:r>
      <w:r>
        <w:rPr>
          <w:rStyle w:val="FootnoteReference"/>
        </w:rPr>
        <w:footnoteReference w:id="121"/>
      </w:r>
      <w:r>
        <w:rPr>
          <w:rStyle w:val="FootnoteReference"/>
        </w:rPr>
        <w:footnoteReference w:id="123"/>
      </w:r>
    </w:p>
    <w:p>
      <w:pPr>
        <w:pStyle w:val="BodyText"/>
      </w:pPr>
      <m:oMathPara>
        <m:oMathParaPr>
          <m:jc m:val="center"/>
        </m:oMathParaPr>
        <m:oMath>
          <m:sSub>
            <m:e>
              <m:r>
                <m:t>P</m:t>
              </m:r>
            </m:e>
            <m:sub>
              <m:r>
                <m:rPr>
                  <m:sty m:val="p"/>
                </m:rPr>
                <m:t>s</m:t>
              </m:r>
              <m:r>
                <m:rPr>
                  <m:sty m:val="p"/>
                </m:rPr>
                <m:t>w</m:t>
              </m:r>
            </m:sub>
          </m:sSub>
          <m:r>
            <m:rPr>
              <m:sty m:val="p"/>
            </m:rPr>
            <m:t>(</m:t>
          </m:r>
          <m:r>
            <m:t>V</m:t>
          </m:r>
          <m:r>
            <m:rPr>
              <m:sty m:val="p"/>
            </m:rPr>
            <m:t>,</m:t>
          </m:r>
          <m:r>
            <m:t> </m:t>
          </m:r>
          <m:sSub>
            <m:e>
              <m:r>
                <m:t>t</m:t>
              </m:r>
            </m:e>
            <m:sub>
              <m:r>
                <m:rPr>
                  <m:sty m:val="p"/>
                </m:rPr>
                <m:t>p</m:t>
              </m:r>
            </m:sub>
          </m:sSub>
          <m:r>
            <m:rPr>
              <m:sty m:val="p"/>
            </m:rPr>
            <m:t>)</m:t>
          </m:r>
          <m:r>
            <m:t> </m:t>
          </m:r>
          <m:r>
            <m:rPr>
              <m:sty m:val="p"/>
            </m:rPr>
            <m:t>=</m:t>
          </m:r>
          <m:r>
            <m:t> </m:t>
          </m:r>
          <m:r>
            <m:t>1</m:t>
          </m:r>
          <m:r>
            <m:rPr>
              <m:sty m:val="p"/>
            </m:rPr>
            <m:t>−</m:t>
          </m:r>
          <m:r>
            <m:rPr>
              <m:sty m:val="p"/>
            </m:rPr>
            <m:t>exp</m:t>
          </m:r>
          <m:r>
            <m:t>​</m:t>
          </m:r>
          <m:d>
            <m:dPr>
              <m:begChr m:val="["/>
              <m:sepChr m:val=""/>
              <m:endChr m:val="]"/>
              <m:grow/>
            </m:dPr>
            <m:e>
              <m:r>
                <m:rPr>
                  <m:sty m:val="p"/>
                </m:rPr>
                <m:t>−</m:t>
              </m:r>
              <m:f>
                <m:fPr>
                  <m:type m:val="bar"/>
                </m:fPr>
                <m:num>
                  <m:sSub>
                    <m:e>
                      <m:r>
                        <m:t>t</m:t>
                      </m:r>
                    </m:e>
                    <m:sub>
                      <m:r>
                        <m:rPr>
                          <m:sty m:val="p"/>
                        </m:rPr>
                        <m:t>p</m:t>
                      </m:r>
                    </m:sub>
                  </m:sSub>
                </m:num>
                <m:den>
                  <m:sSub>
                    <m:e>
                      <m:r>
                        <m:t>τ</m:t>
                      </m:r>
                    </m:e>
                    <m:sub>
                      <m:r>
                        <m:t>0</m:t>
                      </m:r>
                    </m:sub>
                  </m:sSub>
                </m:den>
              </m:f>
              <m:r>
                <m:rPr>
                  <m:sty m:val="p"/>
                </m:rPr>
                <m:t>exp</m:t>
              </m:r>
              <m:r>
                <m:t>​</m:t>
              </m:r>
              <m:d>
                <m:dPr>
                  <m:begChr m:val="("/>
                  <m:sepChr m:val=""/>
                  <m:endChr m:val=")"/>
                  <m:grow/>
                </m:dPr>
                <m:e>
                  <m:r>
                    <m:rPr>
                      <m:sty m:val="p"/>
                    </m:rPr>
                    <m:t>−</m:t>
                  </m:r>
                  <m:f>
                    <m:fPr>
                      <m:type m:val="bar"/>
                    </m:fPr>
                    <m:num>
                      <m:sSub>
                        <m:e>
                          <m:r>
                            <m:t>E</m:t>
                          </m:r>
                        </m:e>
                        <m:sub>
                          <m:r>
                            <m:rPr>
                              <m:sty m:val="p"/>
                            </m:rPr>
                            <m:t>b</m:t>
                          </m:r>
                        </m:sub>
                      </m:sSub>
                    </m:num>
                    <m:den>
                      <m:sSub>
                        <m:e>
                          <m:r>
                            <m:t>k</m:t>
                          </m:r>
                        </m:e>
                        <m:sub>
                          <m:r>
                            <m:rPr>
                              <m:sty m:val="p"/>
                            </m:rPr>
                            <m:t>B</m:t>
                          </m:r>
                        </m:sub>
                      </m:sSub>
                      <m:r>
                        <m:t>T</m:t>
                      </m:r>
                    </m:den>
                  </m:f>
                  <m:r>
                    <m:t>​</m:t>
                  </m:r>
                  <m:d>
                    <m:dPr>
                      <m:begChr m:val="("/>
                      <m:sepChr m:val=""/>
                      <m:endChr m:val=")"/>
                      <m:grow/>
                    </m:dPr>
                    <m:e>
                      <m:r>
                        <m:t>1</m:t>
                      </m:r>
                      <m:r>
                        <m:rPr>
                          <m:sty m:val="p"/>
                        </m:rPr>
                        <m:t>−</m:t>
                      </m:r>
                      <m:f>
                        <m:fPr>
                          <m:type m:val="bar"/>
                        </m:fPr>
                        <m:num>
                          <m:r>
                            <m:t>V</m:t>
                          </m:r>
                        </m:num>
                        <m:den>
                          <m:sSub>
                            <m:e>
                              <m:r>
                                <m:t>V</m:t>
                              </m:r>
                            </m:e>
                            <m:sub>
                              <m:r>
                                <m:rPr>
                                  <m:sty m:val="p"/>
                                </m:rPr>
                                <m:t>c</m:t>
                              </m:r>
                            </m:sub>
                          </m:sSub>
                        </m:den>
                      </m:f>
                    </m:e>
                  </m:d>
                </m:e>
              </m:d>
            </m:e>
          </m:d>
          <m:r>
            <m:rPr>
              <m:sty m:val="p"/>
            </m:rPr>
            <m:t>,</m:t>
          </m:r>
        </m:oMath>
      </m:oMathPara>
    </w:p>
    <w:p>
      <w:pPr>
        <w:pStyle w:val="FirstParagraph"/>
      </w:pPr>
      <w:r>
        <w:rPr>
          <w:rFonts w:hint="eastAsia"/>
        </w:rPr>
        <w:t xml:space="preserve">其中</w:t>
      </w:r>
      <m:oMath>
        <m:sSub>
          <m:e>
            <m:r>
              <m:t>E</m:t>
            </m:r>
          </m:e>
          <m:sub>
            <m:r>
              <m:rPr>
                <m:sty m:val="p"/>
              </m:rPr>
              <m:t>b</m:t>
            </m:r>
          </m:sub>
        </m:sSub>
      </m:oMath>
      <w:r>
        <w:rPr>
          <w:rFonts w:hint="eastAsia"/>
        </w:rPr>
        <w:t xml:space="preserve">为磁各向异性势垒、</w:t>
      </w:r>
      <m:oMath>
        <m:sSub>
          <m:e>
            <m:r>
              <m:t>V</m:t>
            </m:r>
          </m:e>
          <m:sub>
            <m:r>
              <m:rPr>
                <m:sty m:val="p"/>
              </m:rPr>
              <m:t>c</m:t>
            </m:r>
          </m:sub>
        </m:sSub>
      </m:oMath>
      <w:r>
        <w:rPr>
          <w:rFonts w:hint="eastAsia"/>
        </w:rPr>
        <w:t xml:space="preserve">为临界电压、</w:t>
      </w:r>
      <m:oMath>
        <m:sSub>
          <m:e>
            <m:r>
              <m:t>τ</m:t>
            </m:r>
          </m:e>
          <m:sub>
            <m:r>
              <m:t>0</m:t>
            </m:r>
          </m:sub>
        </m:sSub>
      </m:oMath>
      <w:r>
        <w:rPr>
          <w:rFonts w:hint="eastAsia"/>
        </w:rPr>
        <w:t xml:space="preserve">为attempt</w:t>
      </w:r>
      <w:r>
        <w:t xml:space="preserve"> time、</w:t>
      </w:r>
      <m:oMath>
        <m:sSub>
          <m:e>
            <m:r>
              <m:t>t</m:t>
            </m:r>
          </m:e>
          <m:sub>
            <m:r>
              <m:rPr>
                <m:sty m:val="p"/>
              </m:rPr>
              <m:t>p</m:t>
            </m:r>
          </m:sub>
        </m:sSub>
      </m:oMath>
      <w:r>
        <w:rPr>
          <w:rFonts w:hint="eastAsia"/>
        </w:rPr>
        <w:t xml:space="preserve">为脉冲宽度。当</w:t>
      </w:r>
      <m:oMath>
        <m:sSub>
          <m:e>
            <m:r>
              <m:t>t</m:t>
            </m:r>
          </m:e>
          <m:sub>
            <m:r>
              <m:rPr>
                <m:sty m:val="p"/>
              </m:rPr>
              <m:t>p</m:t>
            </m:r>
          </m:sub>
        </m:sSub>
      </m:oMath>
      <w:r>
        <w:rPr>
          <w:rFonts w:hint="eastAsia"/>
        </w:rPr>
        <w:t xml:space="preserve">与</w:t>
      </w:r>
      <m:oMath>
        <m:r>
          <m:rPr>
            <m:sty m:val="p"/>
          </m:rPr>
          <m:t>Δ</m:t>
        </m:r>
        <m:r>
          <m:rPr>
            <m:sty m:val="p"/>
          </m:rPr>
          <m:t>=</m:t>
        </m:r>
        <m:sSub>
          <m:e>
            <m:r>
              <m:t>E</m:t>
            </m:r>
          </m:e>
          <m:sub>
            <m:r>
              <m:rPr>
                <m:sty m:val="p"/>
              </m:rPr>
              <m:t>b</m:t>
            </m:r>
          </m:sub>
        </m:sSub>
        <m:r>
          <m:rPr>
            <m:sty m:val="p"/>
          </m:rPr>
          <m:t>/</m:t>
        </m:r>
        <m:sSub>
          <m:e>
            <m:r>
              <m:t>k</m:t>
            </m:r>
          </m:e>
          <m:sub>
            <m:r>
              <m:rPr>
                <m:sty m:val="p"/>
              </m:rPr>
              <m:t>B</m:t>
            </m:r>
          </m:sub>
        </m:sSub>
        <m:r>
          <m:t>T</m:t>
        </m:r>
      </m:oMath>
      <w:r>
        <w:rPr>
          <w:rFonts w:hint="eastAsia"/>
        </w:rPr>
        <w:t xml:space="preserve">处于合适区间时，</w:t>
      </w:r>
      <m:oMath>
        <m:sSub>
          <m:e>
            <m:r>
              <m:t>P</m:t>
            </m:r>
          </m:e>
          <m:sub>
            <m:r>
              <m:rPr>
                <m:sty m:val="p"/>
              </m:rPr>
              <m:t>s</m:t>
            </m:r>
            <m:r>
              <m:rPr>
                <m:sty m:val="p"/>
              </m:rPr>
              <m:t>w</m:t>
            </m:r>
          </m:sub>
        </m:sSub>
        <m:r>
          <m:rPr>
            <m:sty m:val="p"/>
          </m:rPr>
          <m:t>(</m:t>
        </m:r>
        <m:r>
          <m:t>V</m:t>
        </m:r>
        <m:r>
          <m:rPr>
            <m:sty m:val="p"/>
          </m:rPr>
          <m:t>)</m:t>
        </m:r>
      </m:oMath>
      <w:r>
        <w:rPr>
          <w:rFonts w:hint="eastAsia"/>
        </w:rPr>
        <w:t xml:space="preserve">在过渡区间高度近似一条中心为</w:t>
      </w:r>
      <m:oMath>
        <m:sSub>
          <m:e>
            <m:r>
              <m:t>V</m:t>
            </m:r>
          </m:e>
          <m:sub>
            <m:r>
              <m:t>0</m:t>
            </m:r>
          </m:sub>
        </m:sSub>
      </m:oMath>
      <w:r>
        <w:rPr>
          <w:rFonts w:hint="eastAsia"/>
        </w:rPr>
        <w:t xml:space="preserve">、宽度尺度为</w:t>
      </w:r>
      <m:oMath>
        <m:sSub>
          <m:e>
            <m:r>
              <m:t>V</m:t>
            </m:r>
          </m:e>
          <m:sub>
            <m:r>
              <m:rPr>
                <m:sty m:val="p"/>
              </m:rPr>
              <m:t>c</m:t>
            </m:r>
          </m:sub>
        </m:sSub>
        <m:r>
          <m:rPr>
            <m:sty m:val="p"/>
          </m:rPr>
          <m:t>/</m:t>
        </m:r>
        <m:r>
          <m:rPr>
            <m:sty m:val="p"/>
          </m:rPr>
          <m:t>Δ</m:t>
        </m:r>
      </m:oMath>
      <w:r>
        <w:rPr>
          <w:rFonts w:hint="eastAsia"/>
        </w:rPr>
        <w:t xml:space="preserve">的Sigmoid曲线。Safranski等人</w:t>
      </w:r>
      <w:r>
        <w:rPr>
          <w:rStyle w:val="FootnoteReference"/>
        </w:rPr>
        <w:footnoteReference w:id="125"/>
      </w:r>
      <w:r>
        <w:rPr>
          <w:rFonts w:hint="eastAsia"/>
        </w:rPr>
        <w:t xml:space="preserve">与Daniel等人</w:t>
      </w:r>
      <w:r>
        <w:rPr>
          <w:rStyle w:val="FootnoteReference"/>
        </w:rPr>
        <w:footnoteReference w:id="126"/>
      </w:r>
      <w:r>
        <w:rPr>
          <w:rFonts w:hint="eastAsia"/>
        </w:rPr>
        <w:t xml:space="preserve">均直接测得该Sigmoid形状并以</w:t>
      </w:r>
      <m:oMath>
        <m:sSub>
          <m:e>
            <m:r>
              <m:t>P</m:t>
            </m:r>
          </m:e>
          <m:sub>
            <m:r>
              <m:rPr>
                <m:sty m:val="p"/>
              </m:rPr>
              <m:t>s</m:t>
            </m:r>
            <m:r>
              <m:rPr>
                <m:sty m:val="p"/>
              </m:rPr>
              <m:t>w</m:t>
            </m:r>
          </m:sub>
        </m:sSub>
        <m:r>
          <m:rPr>
            <m:sty m:val="p"/>
          </m:rPr>
          <m:t>(</m:t>
        </m:r>
        <m:r>
          <m:t>V</m:t>
        </m:r>
        <m:r>
          <m:rPr>
            <m:sty m:val="p"/>
          </m:rPr>
          <m:t>)</m:t>
        </m:r>
        <m:r>
          <m:rPr>
            <m:sty m:val="p"/>
          </m:rPr>
          <m:t>=</m:t>
        </m:r>
        <m:r>
          <m:t>σ</m:t>
        </m:r>
        <m:r>
          <m:rPr>
            <m:sty m:val="p"/>
          </m:rPr>
          <m:t>(</m:t>
        </m:r>
        <m:r>
          <m:rPr>
            <m:sty m:val="p"/>
          </m:rPr>
          <m:t>(</m:t>
        </m:r>
        <m:r>
          <m:t>V</m:t>
        </m:r>
        <m:r>
          <m:rPr>
            <m:sty m:val="p"/>
          </m:rPr>
          <m:t>−</m:t>
        </m:r>
        <m:sSub>
          <m:e>
            <m:r>
              <m:t>V</m:t>
            </m:r>
          </m:e>
          <m:sub>
            <m:r>
              <m:t>0</m:t>
            </m:r>
          </m:sub>
        </m:sSub>
        <m:r>
          <m:rPr>
            <m:sty m:val="p"/>
          </m:rPr>
          <m:t>)</m:t>
        </m:r>
        <m:r>
          <m:rPr>
            <m:sty m:val="p"/>
          </m:rPr>
          <m:t>/</m:t>
        </m:r>
        <m:sSub>
          <m:e>
            <m:r>
              <m:t>V</m:t>
            </m:r>
          </m:e>
          <m:sub>
            <m:r>
              <m:t>T</m:t>
            </m:r>
          </m:sub>
        </m:sSub>
        <m:r>
          <m:rPr>
            <m:sty m:val="p"/>
          </m:rPr>
          <m:t>)</m:t>
        </m:r>
      </m:oMath>
      <w:r>
        <w:rPr>
          <w:rFonts w:hint="eastAsia"/>
        </w:rPr>
        <w:t xml:space="preserve">进行了拟合</w:t>
      </w:r>
      <w:r>
        <w:t xml:space="preserve"> </w:t>
      </w:r>
      <w:r>
        <w:rPr>
          <w:rFonts w:hint="eastAsia"/>
        </w:rPr>
        <w:t xml:space="preserve">(第二章把该接口记为</w:t>
      </w:r>
      <m:oMath>
        <m:r>
          <m:rPr>
            <m:sty m:val="p"/>
          </m:rPr>
          <m:t>(</m:t>
        </m:r>
        <m:sSub>
          <m:e>
            <m:r>
              <m:t>u</m:t>
            </m:r>
          </m:e>
          <m:sub>
            <m:r>
              <m:rPr>
                <m:sty m:val="p"/>
              </m:rPr>
              <m:t>t</m:t>
            </m:r>
            <m:r>
              <m:rPr>
                <m:sty m:val="p"/>
              </m:rPr>
              <m:t>h</m:t>
            </m:r>
          </m:sub>
        </m:sSub>
        <m:r>
          <m:rPr>
            <m:sty m:val="p"/>
          </m:rPr>
          <m:t>,</m:t>
        </m:r>
        <m:r>
          <m:t> </m:t>
        </m:r>
        <m:sSub>
          <m:e>
            <m:r>
              <m:t>β</m:t>
            </m:r>
          </m:e>
          <m:sub>
            <m:r>
              <m:t>s</m:t>
            </m:r>
          </m:sub>
        </m:sSub>
        <m:r>
          <m:rPr>
            <m:sty m:val="p"/>
          </m:rPr>
          <m:t>)</m:t>
        </m:r>
      </m:oMath>
      <w:r>
        <w:rPr>
          <w:rFonts w:hint="eastAsia"/>
        </w:rPr>
        <w:t xml:space="preserve">，即</w:t>
      </w:r>
      <m:oMath>
        <m:sSub>
          <m:e>
            <m:r>
              <m:t>u</m:t>
            </m:r>
          </m:e>
          <m:sub>
            <m:r>
              <m:rPr>
                <m:sty m:val="p"/>
              </m:rPr>
              <m:t>t</m:t>
            </m:r>
            <m:r>
              <m:rPr>
                <m:sty m:val="p"/>
              </m:rPr>
              <m:t>h</m:t>
            </m:r>
          </m:sub>
        </m:sSub>
        <m:r>
          <m:rPr>
            <m:sty m:val="p"/>
          </m:rPr>
          <m:t>=</m:t>
        </m:r>
        <m:sSub>
          <m:e>
            <m:r>
              <m:t>V</m:t>
            </m:r>
          </m:e>
          <m:sub>
            <m:r>
              <m:t>0</m:t>
            </m:r>
          </m:sub>
        </m:sSub>
      </m:oMath>
      <w:r>
        <w:t xml:space="preserve">、</w:t>
      </w:r>
      <m:oMath>
        <m:sSub>
          <m:e>
            <m:r>
              <m:t>β</m:t>
            </m:r>
          </m:e>
          <m:sub>
            <m:r>
              <m:t>s</m:t>
            </m:r>
          </m:sub>
        </m:sSub>
        <m:r>
          <m:rPr>
            <m:sty m:val="p"/>
          </m:rPr>
          <m:t>=</m:t>
        </m:r>
        <m:r>
          <m:t>1</m:t>
        </m:r>
        <m:r>
          <m:rPr>
            <m:sty m:val="p"/>
          </m:rPr>
          <m:t>/</m:t>
        </m:r>
        <m:sSub>
          <m:e>
            <m:r>
              <m:t>V</m:t>
            </m:r>
          </m:e>
          <m:sub>
            <m:r>
              <m:t>T</m:t>
            </m:r>
          </m:sub>
        </m:sSub>
      </m:oMath>
      <w:r>
        <w:rPr>
          <w:rFonts w:hint="eastAsia"/>
        </w:rPr>
        <w:t xml:space="preserve">)；前馈sMTJ-p-bit实验</w:t>
      </w:r>
      <w:r>
        <w:rPr>
          <w:rStyle w:val="FootnoteReference"/>
        </w:rPr>
        <w:footnoteReference w:id="128"/>
      </w:r>
      <w:r>
        <w:rPr>
          <w:rFonts w:hint="eastAsia"/>
        </w:rPr>
        <w:t xml:space="preserve">与VCMA-MTJ系统研究</w:t>
      </w:r>
      <w:r>
        <w:rPr>
          <w:rStyle w:val="FootnoteReference"/>
        </w:rPr>
        <w:footnoteReference w:id="129"/>
      </w:r>
      <w:r>
        <w:rPr>
          <w:rFonts w:hint="eastAsia"/>
        </w:rPr>
        <w:t xml:space="preserve">也给出了连续可调的概率台阶。</w:t>
      </w:r>
    </w:p>
    <w:p>
      <w:pPr>
        <w:pStyle w:val="BodyText"/>
      </w:pPr>
      <w:r>
        <w:rPr>
          <w:rFonts w:hint="eastAsia"/>
        </w:rPr>
        <w:t xml:space="preserve">该Sigmoid来自Arrhenius律本身，而非器件外围电路的后处理近似。Arrhenius指数在过渡区的Taylor展开高度近似为logistic函数，其中温度参数</w:t>
      </w:r>
      <m:oMath>
        <m:r>
          <m:t>T</m:t>
        </m:r>
      </m:oMath>
      <w:r>
        <w:rPr>
          <w:rFonts w:hint="eastAsia"/>
        </w:rPr>
        <w:t xml:space="preserve">在物理上即室温</w:t>
      </w:r>
      <m:oMath>
        <m:sSub>
          <m:e>
            <m:r>
              <m:t>k</m:t>
            </m:r>
          </m:e>
          <m:sub>
            <m:r>
              <m:rPr>
                <m:sty m:val="p"/>
              </m:rPr>
              <m:t>B</m:t>
            </m:r>
          </m:sub>
        </m:sSub>
        <m:r>
          <m:t>T</m:t>
        </m:r>
      </m:oMath>
      <w:r>
        <w:rPr>
          <w:rFonts w:hint="eastAsia"/>
        </w:rPr>
        <w:t xml:space="preserve">，在算法上即前文伊辛模型的等效温度。更进一步，Arrhenius律还可投影到时域：把脉冲内的累积翻转概率换成自由演化下的瞬时翻转速率，即得超顺磁磁矩的随机电报动力学，其两态间的特征停留时间</w:t>
      </w:r>
      <w:r>
        <w:t xml:space="preserve"> </w:t>
      </w:r>
      <w:r>
        <w:rPr>
          <w:rFonts w:hint="eastAsia"/>
        </w:rPr>
        <w:t xml:space="preserve">(相关时间)</w:t>
      </w:r>
      <w:r>
        <w:t xml:space="preserve"> </w:t>
      </w:r>
      <m:oMath>
        <m:r>
          <m:t>τ</m:t>
        </m:r>
      </m:oMath>
      <w:r>
        <w:rPr>
          <w:rFonts w:hint="eastAsia"/>
        </w:rPr>
        <w:t xml:space="preserve">由势垒与偏置共同决定，并随偏置连续可调。这一时域侧面是有状态模式的物理基础。因此本节建立的器件接口虽以PBNN采样为例，其底层Arrhenius物理为三类任务所共享：Sigmoid翻转概率支撑无记忆采样，时域翻转速率与相关时间</w:t>
      </w:r>
      <m:oMath>
        <m:r>
          <m:t>τ</m:t>
        </m:r>
      </m:oMath>
      <w:r>
        <w:rPr>
          <w:rFonts w:hint="eastAsia"/>
        </w:rPr>
        <w:t xml:space="preserve">支撑有状态动力学。</w:t>
      </w:r>
    </w:p>
    <w:p>
      <w:pPr>
        <w:pStyle w:val="BodyText"/>
      </w:pPr>
      <w:r>
        <w:rPr>
          <w:rFonts w:hint="eastAsia"/>
        </w:rPr>
        <w:t xml:space="preserve">在PBNN上下文中，只需令外围DAC将潜参数</w:t>
      </w:r>
      <m:oMath>
        <m:sSub>
          <m:e>
            <m:r>
              <m:t>θ</m:t>
            </m:r>
          </m:e>
          <m:sub>
            <m:r>
              <m:t>i</m:t>
            </m:r>
            <m:r>
              <m:t>j</m:t>
            </m:r>
          </m:sub>
        </m:sSub>
      </m:oMath>
      <w:r>
        <w:rPr>
          <w:rFonts w:hint="eastAsia"/>
        </w:rPr>
        <w:t xml:space="preserve">映射至写入电压</w:t>
      </w:r>
      <m:oMath>
        <m:sSub>
          <m:e>
            <m:r>
              <m:t>V</m:t>
            </m:r>
          </m:e>
          <m:sub>
            <m:r>
              <m:rPr>
                <m:sty m:val="p"/>
              </m:rPr>
              <m:t>w</m:t>
            </m:r>
            <m:r>
              <m:rPr>
                <m:sty m:val="p"/>
              </m:rPr>
              <m:t>r</m:t>
            </m:r>
          </m:sub>
        </m:sSub>
        <m:r>
          <m:rPr>
            <m:sty m:val="p"/>
          </m:rPr>
          <m:t>=</m:t>
        </m:r>
        <m:sSub>
          <m:e>
            <m:r>
              <m:t>V</m:t>
            </m:r>
          </m:e>
          <m:sub>
            <m:r>
              <m:t>0</m:t>
            </m:r>
          </m:sub>
        </m:sSub>
        <m:r>
          <m:rPr>
            <m:sty m:val="p"/>
          </m:rPr>
          <m:t>+</m:t>
        </m:r>
        <m:sSub>
          <m:e>
            <m:r>
              <m:t>V</m:t>
            </m:r>
          </m:e>
          <m:sub>
            <m:r>
              <m:t>T</m:t>
            </m:r>
          </m:sub>
        </m:sSub>
        <m:sSub>
          <m:e>
            <m:r>
              <m:t>θ</m:t>
            </m:r>
          </m:e>
          <m:sub>
            <m:r>
              <m:t>i</m:t>
            </m:r>
            <m:r>
              <m:t>j</m:t>
            </m:r>
          </m:sub>
        </m:sSub>
      </m:oMath>
      <w:r>
        <w:rPr>
          <w:rFonts w:hint="eastAsia"/>
        </w:rPr>
        <w:t xml:space="preserve">并施加到对应sMTJ，该单元在一次写入后的磁化状态即为从</w:t>
      </w:r>
      <m:oMath>
        <m:r>
          <m:rPr>
            <m:sty m:val="p"/>
          </m:rPr>
          <m:t>B</m:t>
        </m:r>
        <m:r>
          <m:rPr>
            <m:sty m:val="p"/>
          </m:rPr>
          <m:t>e</m:t>
        </m:r>
        <m:r>
          <m:rPr>
            <m:sty m:val="p"/>
          </m:rPr>
          <m:t>r</m:t>
        </m:r>
        <m:r>
          <m:rPr>
            <m:sty m:val="p"/>
          </m:rPr>
          <m:t>n</m:t>
        </m:r>
        <m:r>
          <m:rPr>
            <m:sty m:val="p"/>
          </m:rPr>
          <m:t>(</m:t>
        </m:r>
        <m:r>
          <m:t>σ</m:t>
        </m:r>
        <m:r>
          <m:rPr>
            <m:sty m:val="p"/>
          </m:rPr>
          <m:t>(</m:t>
        </m:r>
        <m:sSub>
          <m:e>
            <m:r>
              <m:t>θ</m:t>
            </m:r>
          </m:e>
          <m:sub>
            <m:r>
              <m:t>i</m:t>
            </m:r>
            <m:r>
              <m:t>j</m:t>
            </m:r>
          </m:sub>
        </m:sSub>
        <m:r>
          <m:rPr>
            <m:sty m:val="p"/>
          </m:rPr>
          <m:t>)</m:t>
        </m:r>
        <m:r>
          <m:rPr>
            <m:sty m:val="p"/>
          </m:rPr>
          <m:t>)</m:t>
        </m:r>
      </m:oMath>
      <w:r>
        <w:rPr>
          <w:rFonts w:hint="eastAsia"/>
        </w:rPr>
        <w:t xml:space="preserve">中抽取的一个原生样本，无需CMOS</w:t>
      </w:r>
      <w:r>
        <w:t xml:space="preserve"> </w:t>
      </w:r>
      <w:r>
        <w:rPr>
          <w:rFonts w:hint="eastAsia"/>
        </w:rPr>
        <w:t xml:space="preserve">TRNG、无需查找表、无需比较器</w:t>
      </w:r>
      <w:r>
        <w:rPr>
          <w:rStyle w:val="FootnoteReference"/>
        </w:rPr>
        <w:footnoteReference w:id="131"/>
      </w:r>
      <w:r>
        <w:t xml:space="preserve">。</w:t>
      </w:r>
    </w:p>
    <w:p>
      <w:pPr>
        <w:pStyle w:val="BodyText"/>
      </w:pPr>
      <w:r>
        <w:rPr>
          <w:rFonts w:hint="eastAsia"/>
        </w:rPr>
        <w:t xml:space="preserve">在阵列维度，同一行的</w:t>
      </w:r>
      <m:oMath>
        <m:r>
          <m:t>N</m:t>
        </m:r>
      </m:oMath>
      <w:r>
        <w:rPr>
          <w:rFonts w:hint="eastAsia"/>
        </w:rPr>
        <w:t xml:space="preserve">个sMTJ并行抽样，以输入</w:t>
      </w:r>
      <m:oMath>
        <m:sSub>
          <m:e>
            <m:r>
              <m:t>x</m:t>
            </m:r>
          </m:e>
          <m:sub>
            <m:r>
              <m:t>j</m:t>
            </m:r>
          </m:sub>
        </m:sSub>
      </m:oMath>
      <w:r>
        <w:rPr>
          <w:rFonts w:hint="eastAsia"/>
        </w:rPr>
        <w:t xml:space="preserve">驱动行线后，位线电流即等于</w:t>
      </w:r>
      <m:oMath>
        <m:nary>
          <m:naryPr>
            <m:chr m:val="∑"/>
            <m:limLoc m:val="undOvr"/>
            <m:subHide m:val="off"/>
            <m:supHide m:val="on"/>
          </m:naryPr>
          <m:sub>
            <m:r>
              <m:t>j</m:t>
            </m:r>
          </m:sub>
          <m:sup>
            <m:r>
              <m:t>​</m:t>
            </m:r>
          </m:sup>
          <m:e>
            <m:sSubSup>
              <m:e>
                <m:r>
                  <m:t>w</m:t>
                </m:r>
              </m:e>
              <m:sub>
                <m:r>
                  <m:t>i</m:t>
                </m:r>
                <m:r>
                  <m:t>j</m:t>
                </m:r>
              </m:sub>
              <m:sup>
                <m:r>
                  <m:rPr>
                    <m:sty m:val="p"/>
                  </m:rPr>
                  <m:t>(</m:t>
                </m:r>
                <m:r>
                  <m:t>t</m:t>
                </m:r>
                <m:r>
                  <m:rPr>
                    <m:sty m:val="p"/>
                  </m:rPr>
                  <m:t>)</m:t>
                </m:r>
              </m:sup>
            </m:sSubSup>
          </m:e>
        </m:nary>
        <m:sSub>
          <m:e>
            <m:r>
              <m:t>x</m:t>
            </m:r>
          </m:e>
          <m:sub>
            <m:r>
              <m:t>j</m:t>
            </m:r>
          </m:sub>
        </m:sSub>
      </m:oMath>
      <w:r>
        <w:rPr>
          <w:rFonts w:hint="eastAsia"/>
        </w:rPr>
        <w:t xml:space="preserve">，这是一次XNOR-popcount，也是前节所述CLT对预激活的一次采样</w:t>
      </w:r>
      <m:oMath>
        <m:sSubSup>
          <m:e>
            <m:r>
              <m:t>z</m:t>
            </m:r>
          </m:e>
          <m:sub>
            <m:r>
              <m:t>i</m:t>
            </m:r>
          </m:sub>
          <m:sup>
            <m:r>
              <m:rPr>
                <m:sty m:val="p"/>
              </m:rPr>
              <m:t>(</m:t>
            </m:r>
            <m:r>
              <m:t>t</m:t>
            </m:r>
            <m:r>
              <m:rPr>
                <m:sty m:val="p"/>
              </m:rPr>
              <m:t>)</m:t>
            </m:r>
          </m:sup>
        </m:sSubSup>
      </m:oMath>
      <w:r>
        <w:rPr>
          <w:rFonts w:hint="eastAsia"/>
        </w:rPr>
        <w:t xml:space="preserve">。重复</w:t>
      </w:r>
      <m:oMath>
        <m:r>
          <m:t>T</m:t>
        </m:r>
      </m:oMath>
      <w:r>
        <w:rPr>
          <w:rFonts w:hint="eastAsia"/>
        </w:rPr>
        <w:t xml:space="preserve">次独立写入与位线累加，外围数字计数器即对样本取经验平均</w:t>
      </w:r>
    </w:p>
    <w:p>
      <w:pPr>
        <w:pStyle w:val="BodyText"/>
      </w:pPr>
      <m:oMathPara>
        <m:oMathParaPr>
          <m:jc m:val="center"/>
        </m:oMathParaPr>
        <m:oMath>
          <m:sSub>
            <m:e>
              <m:acc>
                <m:accPr>
                  <m:chr m:val="̂"/>
                </m:accPr>
                <m:e>
                  <m:r>
                    <m:t>μ</m:t>
                  </m:r>
                </m:e>
              </m:acc>
            </m:e>
            <m:sub>
              <m:r>
                <m:t>i</m:t>
              </m:r>
            </m:sub>
          </m:sSub>
          <m:r>
            <m:t> </m:t>
          </m:r>
          <m:r>
            <m:rPr>
              <m:sty m:val="p"/>
            </m:rPr>
            <m:t>=</m:t>
          </m:r>
          <m:r>
            <m:t> </m:t>
          </m:r>
          <m:f>
            <m:fPr>
              <m:type m:val="bar"/>
            </m:fPr>
            <m:num>
              <m:r>
                <m:t>1</m:t>
              </m:r>
            </m:num>
            <m:den>
              <m:r>
                <m:t>T</m:t>
              </m:r>
            </m:den>
          </m:f>
          <m:nary>
            <m:naryPr>
              <m:chr m:val="∑"/>
              <m:limLoc m:val="undOvr"/>
              <m:subHide m:val="off"/>
              <m:supHide m:val="off"/>
            </m:naryPr>
            <m:sub>
              <m:r>
                <m:t>t</m:t>
              </m:r>
              <m:r>
                <m:rPr>
                  <m:sty m:val="p"/>
                </m:rPr>
                <m:t>=</m:t>
              </m:r>
              <m:r>
                <m:t>1</m:t>
              </m:r>
            </m:sub>
            <m:sup>
              <m:r>
                <m:t>T</m:t>
              </m:r>
            </m:sup>
            <m:e>
              <m:sSubSup>
                <m:e>
                  <m:r>
                    <m:t>z</m:t>
                  </m:r>
                </m:e>
                <m:sub>
                  <m:r>
                    <m:t>i</m:t>
                  </m:r>
                </m:sub>
                <m:sup>
                  <m:r>
                    <m:rPr>
                      <m:sty m:val="p"/>
                    </m:rPr>
                    <m:t>(</m:t>
                  </m:r>
                  <m:r>
                    <m:t>t</m:t>
                  </m:r>
                  <m:r>
                    <m:rPr>
                      <m:sty m:val="p"/>
                    </m:rPr>
                    <m:t>)</m:t>
                  </m:r>
                </m:sup>
              </m:sSubSup>
            </m:e>
          </m:nary>
          <m:r>
            <m:t> </m:t>
          </m:r>
          <m:limLow>
            <m:e>
              <m:limUpp>
                <m:e>
                  <m:r>
                    <m:rPr>
                      <m:sty m:val="p"/>
                    </m:rPr>
                    <m:t>→</m:t>
                  </m:r>
                </m:e>
                <m:lim>
                  <m:r>
                    <m:t>​</m:t>
                  </m:r>
                </m:lim>
              </m:limUpp>
            </m:e>
            <m:lim>
              <m:r>
                <m:t>T</m:t>
              </m:r>
              <m:r>
                <m:rPr>
                  <m:sty m:val="p"/>
                </m:rPr>
                <m:t>→</m:t>
              </m:r>
              <m:r>
                <m:rPr>
                  <m:sty m:val="p"/>
                </m:rPr>
                <m:t>∞</m:t>
              </m:r>
            </m:lim>
          </m:limLow>
          <m:r>
            <m:t> </m:t>
          </m:r>
          <m:sSub>
            <m:e>
              <m:r>
                <m:t>μ</m:t>
              </m:r>
            </m:e>
            <m:sub>
              <m:r>
                <m:t>i</m:t>
              </m:r>
            </m:sub>
          </m:sSub>
          <m:r>
            <m:rPr>
              <m:sty m:val="p"/>
            </m:rPr>
            <m:t>,</m:t>
          </m:r>
        </m:oMath>
      </m:oMathPara>
    </w:p>
    <w:p>
      <w:pPr>
        <w:pStyle w:val="FirstParagraph"/>
      </w:pPr>
      <w:r>
        <w:rPr>
          <w:rFonts w:hint="eastAsia"/>
        </w:rPr>
        <w:t xml:space="preserve">其均方误差以</w:t>
      </w:r>
      <m:oMath>
        <m:r>
          <m:t>O</m:t>
        </m:r>
        <m:r>
          <m:rPr>
            <m:sty m:val="p"/>
          </m:rPr>
          <m:t>(</m:t>
        </m:r>
        <m:r>
          <m:t>1</m:t>
        </m:r>
        <m:r>
          <m:rPr>
            <m:sty m:val="p"/>
          </m:rPr>
          <m:t>/</m:t>
        </m:r>
        <m:r>
          <m:t>T</m:t>
        </m:r>
        <m:r>
          <m:rPr>
            <m:sty m:val="p"/>
          </m:rPr>
          <m:t>)</m:t>
        </m:r>
      </m:oMath>
      <w:r>
        <w:rPr>
          <w:rFonts w:hint="eastAsia"/>
        </w:rPr>
        <w:t xml:space="preserve">衰减。至此，PBNN前向所需的两个核心元素，即权重的伯努利-Sigmoid采样与预激活的高斯统计，分别由单元级物理与阵列级电流求和承担，无需任何外围高精度数值运算。</w:t>
      </w:r>
    </w:p>
    <w:p>
      <w:pPr>
        <w:pStyle w:val="BodyText"/>
      </w:pPr>
      <w:r>
        <w:rPr>
          <w:rFonts w:hint="eastAsia"/>
        </w:rPr>
        <w:t xml:space="preserve">将sMTJ与PBNN的对应关系整理如下。</w:t>
      </w:r>
    </w:p>
    <w:p>
      <w:pPr>
        <w:pStyle w:val="BodyText"/>
      </w:pPr>
      <w:r>
        <w:rPr>
          <w:rFonts w:hint="eastAsia"/>
          <w:b/>
          <w:bCs/>
        </w:rPr>
        <w:t xml:space="preserve">表1.1</w:t>
      </w:r>
      <w:r>
        <w:t xml:space="preserve"> </w:t>
      </w:r>
      <w:r>
        <w:rPr>
          <w:rFonts w:hint="eastAsia"/>
        </w:rPr>
        <w:t xml:space="preserve">PBNN算法需求与sMTJ器件物理属性的对应关系。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PBNN算法需求</w:t>
            </w:r>
          </w:p>
        </w:tc>
        <w:tc>
          <w:tcPr/>
          <w:p>
            <w:pPr>
              <w:pStyle w:val="Compact"/>
              <w:jc w:val="left"/>
            </w:pPr>
            <w:r>
              <w:rPr>
                <w:rFonts w:hint="eastAsia"/>
              </w:rPr>
              <w:t xml:space="preserve">sMTJ物理属性</w:t>
            </w:r>
          </w:p>
        </w:tc>
        <w:tc>
          <w:tcPr/>
          <w:p>
            <w:pPr>
              <w:pStyle w:val="Compact"/>
              <w:jc w:val="left"/>
            </w:pPr>
            <w:r>
              <w:rPr>
                <w:rFonts w:hint="eastAsia"/>
              </w:rPr>
              <w:t xml:space="preserve">物理律</w:t>
            </w:r>
          </w:p>
        </w:tc>
      </w:tr>
      <w:tr>
        <w:tc>
          <w:tcPr/>
          <w:p>
            <w:pPr>
              <w:pStyle w:val="Compact"/>
              <w:jc w:val="left"/>
            </w:pPr>
            <w:r>
              <w:rPr>
                <w:rFonts w:hint="eastAsia"/>
              </w:rPr>
              <w:t xml:space="preserve">单比特权重存储</w:t>
            </w:r>
            <m:oMath>
              <m:sSub>
                <m:e>
                  <m:r>
                    <m:t>w</m:t>
                  </m:r>
                </m:e>
                <m:sub>
                  <m:r>
                    <m:t>i</m:t>
                  </m:r>
                  <m:r>
                    <m:t>j</m:t>
                  </m:r>
                </m:sub>
              </m:sSub>
              <m:r>
                <m:rPr>
                  <m:sty m:val="p"/>
                </m:rPr>
                <m:t>∈</m:t>
              </m:r>
              <m:r>
                <m:rPr>
                  <m:sty m:val="p"/>
                </m:rPr>
                <m:t>{</m:t>
              </m:r>
              <m:r>
                <m:rPr>
                  <m:sty m:val="p"/>
                </m:rPr>
                <m:t>±</m:t>
              </m:r>
              <m:r>
                <m:t>1</m:t>
              </m:r>
              <m:r>
                <m:rPr>
                  <m:sty m:val="p"/>
                </m:rPr>
                <m:t>}</m:t>
              </m:r>
            </m:oMath>
          </w:p>
        </w:tc>
        <w:tc>
          <w:tcPr/>
          <w:p>
            <w:pPr>
              <w:pStyle w:val="Compact"/>
              <w:jc w:val="left"/>
            </w:pPr>
            <w:r>
              <w:rPr>
                <w:rFonts w:hint="eastAsia"/>
              </w:rPr>
              <w:t xml:space="preserve">MTJ的P/AP两阻态，TMR&gt;100%</w:t>
            </w:r>
          </w:p>
        </w:tc>
        <w:tc>
          <w:tcPr/>
          <w:p>
            <w:pPr>
              <w:pStyle w:val="Compact"/>
              <w:jc w:val="left"/>
            </w:pPr>
            <w:r>
              <w:rPr>
                <w:rFonts w:hint="eastAsia"/>
              </w:rPr>
              <w:t xml:space="preserve">隧穿磁阻效应</w:t>
            </w:r>
            <w:r>
              <w:rPr>
                <w:rStyle w:val="FootnoteReference"/>
              </w:rPr>
              <w:footnoteReference w:id="132"/>
            </w:r>
          </w:p>
        </w:tc>
      </w:tr>
      <w:tr>
        <w:tc>
          <w:tcPr/>
          <w:p>
            <w:pPr>
              <w:pStyle w:val="Compact"/>
              <w:jc w:val="left"/>
            </w:pPr>
            <w:r>
              <w:rPr>
                <w:rFonts w:hint="eastAsia"/>
              </w:rPr>
              <w:t xml:space="preserve">二值乘加</w:t>
            </w:r>
            <m:oMath>
              <m:nary>
                <m:naryPr>
                  <m:chr m:val="∑"/>
                  <m:limLoc m:val="undOvr"/>
                  <m:subHide m:val="off"/>
                  <m:supHide m:val="on"/>
                </m:naryPr>
                <m:sub>
                  <m:r>
                    <m:t>j</m:t>
                  </m:r>
                </m:sub>
                <m:sup>
                  <m:r>
                    <m:t>​</m:t>
                  </m:r>
                </m:sup>
                <m:e>
                  <m:sSub>
                    <m:e>
                      <m:r>
                        <m:t>w</m:t>
                      </m:r>
                    </m:e>
                    <m:sub>
                      <m:r>
                        <m:t>i</m:t>
                      </m:r>
                      <m:r>
                        <m:t>j</m:t>
                      </m:r>
                    </m:sub>
                  </m:sSub>
                </m:e>
              </m:nary>
              <m:sSub>
                <m:e>
                  <m:r>
                    <m:t>x</m:t>
                  </m:r>
                </m:e>
                <m:sub>
                  <m:r>
                    <m:t>j</m:t>
                  </m:r>
                </m:sub>
              </m:sSub>
            </m:oMath>
          </w:p>
        </w:tc>
        <w:tc>
          <w:tcPr/>
          <w:p>
            <w:pPr>
              <w:pStyle w:val="Compact"/>
              <w:jc w:val="left"/>
            </w:pPr>
            <w:r>
              <w:rPr>
                <w:rFonts w:hint="eastAsia"/>
              </w:rPr>
              <w:t xml:space="preserve">位线电流求和，XNOR-popcount</w:t>
            </w:r>
          </w:p>
        </w:tc>
        <w:tc>
          <w:tcPr/>
          <w:p>
            <w:pPr>
              <w:pStyle w:val="Compact"/>
              <w:jc w:val="left"/>
            </w:pPr>
            <w:r>
              <w:rPr>
                <w:rFonts w:hint="eastAsia"/>
              </w:rPr>
              <w:t xml:space="preserve">欧姆定律加基尔霍夫定律</w:t>
            </w:r>
          </w:p>
        </w:tc>
      </w:tr>
      <w:tr>
        <w:tc>
          <w:tcPr/>
          <w:p>
            <w:pPr>
              <w:pStyle w:val="Compact"/>
              <w:jc w:val="left"/>
            </w:pPr>
            <w:r>
              <w:rPr>
                <w:rFonts w:hint="eastAsia"/>
              </w:rPr>
              <w:t xml:space="preserve">伯努利采样</w:t>
            </w:r>
            <m:oMath>
              <m:sSub>
                <m:e>
                  <m:r>
                    <m:t>w</m:t>
                  </m:r>
                </m:e>
                <m:sub>
                  <m:r>
                    <m:t>i</m:t>
                  </m:r>
                  <m:r>
                    <m:t>j</m:t>
                  </m:r>
                </m:sub>
              </m:sSub>
              <m:r>
                <m:rPr>
                  <m:sty m:val="p"/>
                </m:rPr>
                <m:t>∼</m:t>
              </m:r>
              <m:r>
                <m:rPr>
                  <m:sty m:val="p"/>
                </m:rPr>
                <m:t>B</m:t>
              </m:r>
              <m:r>
                <m:rPr>
                  <m:sty m:val="p"/>
                </m:rPr>
                <m:t>e</m:t>
              </m:r>
              <m:r>
                <m:rPr>
                  <m:sty m:val="p"/>
                </m:rPr>
                <m:t>r</m:t>
              </m:r>
              <m:r>
                <m:rPr>
                  <m:sty m:val="p"/>
                </m:rPr>
                <m:t>n</m:t>
              </m:r>
              <m:r>
                <m:rPr>
                  <m:sty m:val="p"/>
                </m:rPr>
                <m:t>(</m:t>
              </m:r>
              <m:r>
                <m:t>σ</m:t>
              </m:r>
              <m:r>
                <m:rPr>
                  <m:sty m:val="p"/>
                </m:rPr>
                <m:t>(</m:t>
              </m:r>
              <m:sSub>
                <m:e>
                  <m:r>
                    <m:t>θ</m:t>
                  </m:r>
                </m:e>
                <m:sub>
                  <m:r>
                    <m:t>i</m:t>
                  </m:r>
                  <m:r>
                    <m:t>j</m:t>
                  </m:r>
                </m:sub>
              </m:sSub>
              <m:r>
                <m:rPr>
                  <m:sty m:val="p"/>
                </m:rPr>
                <m:t>)</m:t>
              </m:r>
              <m:r>
                <m:rPr>
                  <m:sty m:val="p"/>
                </m:rPr>
                <m:t>)</m:t>
              </m:r>
            </m:oMath>
          </w:p>
        </w:tc>
        <w:tc>
          <w:tcPr/>
          <w:p>
            <w:pPr>
              <w:pStyle w:val="Compact"/>
              <w:jc w:val="left"/>
            </w:pPr>
            <m:oMath>
              <m:sSub>
                <m:e>
                  <m:r>
                    <m:t>P</m:t>
                  </m:r>
                </m:e>
                <m:sub>
                  <m:r>
                    <m:rPr>
                      <m:sty m:val="p"/>
                    </m:rPr>
                    <m:t>s</m:t>
                  </m:r>
                  <m:r>
                    <m:rPr>
                      <m:sty m:val="p"/>
                    </m:rPr>
                    <m:t>w</m:t>
                  </m:r>
                </m:sub>
              </m:sSub>
              <m:r>
                <m:rPr>
                  <m:sty m:val="p"/>
                </m:rPr>
                <m:t>(</m:t>
              </m:r>
              <m:r>
                <m:t>V</m:t>
              </m:r>
              <m:r>
                <m:rPr>
                  <m:sty m:val="p"/>
                </m:rPr>
                <m:t>)</m:t>
              </m:r>
              <m:r>
                <m:rPr>
                  <m:sty m:val="p"/>
                </m:rPr>
                <m:t>≈</m:t>
              </m:r>
              <m:r>
                <m:t>σ</m:t>
              </m:r>
              <m:r>
                <m:rPr>
                  <m:sty m:val="p"/>
                </m:rPr>
                <m:t>(</m:t>
              </m:r>
              <m:r>
                <m:rPr>
                  <m:sty m:val="p"/>
                </m:rPr>
                <m:t>(</m:t>
              </m:r>
              <m:r>
                <m:t>V</m:t>
              </m:r>
              <m:r>
                <m:rPr>
                  <m:sty m:val="p"/>
                </m:rPr>
                <m:t>−</m:t>
              </m:r>
              <m:sSub>
                <m:e>
                  <m:r>
                    <m:t>V</m:t>
                  </m:r>
                </m:e>
                <m:sub>
                  <m:r>
                    <m:t>0</m:t>
                  </m:r>
                </m:sub>
              </m:sSub>
              <m:r>
                <m:rPr>
                  <m:sty m:val="p"/>
                </m:rPr>
                <m:t>)</m:t>
              </m:r>
              <m:r>
                <m:rPr>
                  <m:sty m:val="p"/>
                </m:rPr>
                <m:t>/</m:t>
              </m:r>
              <m:sSub>
                <m:e>
                  <m:r>
                    <m:t>V</m:t>
                  </m:r>
                </m:e>
                <m:sub>
                  <m:r>
                    <m:t>T</m:t>
                  </m:r>
                </m:sub>
              </m:sSub>
              <m:r>
                <m:rPr>
                  <m:sty m:val="p"/>
                </m:rPr>
                <m:t>)</m:t>
              </m:r>
            </m:oMath>
          </w:p>
        </w:tc>
        <w:tc>
          <w:tcPr/>
          <w:p>
            <w:pPr>
              <w:pStyle w:val="Compact"/>
              <w:jc w:val="left"/>
            </w:pPr>
            <w:r>
              <w:rPr>
                <w:rFonts w:hint="eastAsia"/>
              </w:rPr>
              <w:t xml:space="preserve">Arrhenius热激活律</w:t>
            </w:r>
          </w:p>
        </w:tc>
      </w:tr>
      <w:tr>
        <w:tc>
          <w:tcPr/>
          <w:p>
            <w:pPr>
              <w:pStyle w:val="Compact"/>
              <w:jc w:val="left"/>
            </w:pPr>
            <w:r>
              <w:rPr>
                <w:rFonts w:hint="eastAsia"/>
              </w:rPr>
              <w:t xml:space="preserve">高吞吐时域采样</w:t>
            </w:r>
          </w:p>
        </w:tc>
        <w:tc>
          <w:tcPr/>
          <w:p>
            <w:pPr>
              <w:pStyle w:val="Compact"/>
              <w:jc w:val="left"/>
            </w:pPr>
            <w:r>
              <w:rPr>
                <w:rFonts w:hint="eastAsia"/>
              </w:rPr>
              <w:t xml:space="preserve">亚纳秒至纳秒级切换</w:t>
            </w:r>
          </w:p>
        </w:tc>
        <w:tc>
          <w:tcPr/>
          <w:p>
            <w:pPr>
              <w:pStyle w:val="Compact"/>
              <w:jc w:val="left"/>
            </w:pPr>
            <w:r>
              <w:rPr>
                <w:rFonts w:hint="eastAsia"/>
              </w:rPr>
              <w:t xml:space="preserve">STT/SOT/VCMA动力学</w:t>
            </w:r>
            <w:r>
              <w:rPr>
                <w:rStyle w:val="FootnoteReference"/>
              </w:rPr>
              <w:footnoteReference w:id="134"/>
            </w:r>
          </w:p>
        </w:tc>
      </w:tr>
    </w:tbl>
    <w:p>
      <w:pPr>
        <w:pStyle w:val="BodyText"/>
      </w:pPr>
      <w:r>
        <w:rPr>
          <w:rFonts w:hint="eastAsia"/>
        </w:rPr>
        <w:t xml:space="preserve">四项对应都来自器件基本物理，而非特定电路优化，构成了本文选择MRAM作为概率二值计算载体的核心依据，也是后续各章设计决策的物理基础。</w:t>
      </w:r>
    </w:p>
    <w:bookmarkEnd w:id="136"/>
    <w:bookmarkStart w:id="139" w:name="有状态动力学储备池计算的器件-算法对应"/>
    <w:p>
      <w:pPr>
        <w:pStyle w:val="Heading3"/>
      </w:pPr>
      <w:r>
        <w:t xml:space="preserve">1.2.3 </w:t>
      </w:r>
      <w:r>
        <w:rPr>
          <w:rFonts w:hint="eastAsia"/>
        </w:rPr>
        <w:t xml:space="preserve">有状态动力学：储备池计算的器件-算法对应</w:t>
      </w:r>
    </w:p>
    <w:p>
      <w:pPr>
        <w:pStyle w:val="FirstParagraph"/>
      </w:pPr>
      <w:r>
        <w:rPr>
          <w:rFonts w:hint="eastAsia"/>
        </w:rPr>
        <w:t xml:space="preserve">若不再每步重置同一sMTJ，而任其自由演化，器件便从无记忆采样源变为有状态的随机电报节点；前述统计代替精度原则依然适用，只是读出对象与时间结构都发生变化。节点的模拟激活由一个读出窗口内对</w:t>
      </w:r>
      <m:oMath>
        <m:r>
          <m:rPr>
            <m:sty m:val="p"/>
          </m:rPr>
          <m:t>±</m:t>
        </m:r>
        <m:r>
          <m:t>1</m:t>
        </m:r>
      </m:oMath>
      <w:r>
        <w:rPr>
          <w:rFonts w:hint="eastAsia"/>
        </w:rPr>
        <w:t xml:space="preserve">态的平均给出</w:t>
      </w:r>
      <w:r>
        <w:t xml:space="preserve"> </w:t>
      </w:r>
      <w:r>
        <w:rPr>
          <w:rFonts w:hint="eastAsia"/>
        </w:rPr>
        <w:t xml:space="preserve">(集合维度上由多器件并行、时间维度上由窗口内多次采样)，精度同样由样本数而非比特位宽决定。与无记忆模式的差别在于，器件磁化在窗口之间保持相关，弛豫时间</w:t>
      </w:r>
      <m:oMath>
        <m:r>
          <m:t>τ</m:t>
        </m:r>
      </m:oMath>
      <w:r>
        <w:rPr>
          <w:rFonts w:hint="eastAsia"/>
        </w:rPr>
        <w:t xml:space="preserve">内的历史不被抹去，由此提供衰减记忆；储备池计算正利用这一点，以固定且不训练的随机节点群把输入历史映射到高维状态，仅训练线性读出。</w:t>
      </w:r>
    </w:p>
    <w:p>
      <w:pPr>
        <w:pStyle w:val="BodyText"/>
      </w:pPr>
      <w:r>
        <w:rPr>
          <w:rFonts w:hint="eastAsia"/>
        </w:rPr>
        <w:t xml:space="preserve">由此可把储备池的算法需求与sMTJ物理逐项对应，与1.2.1节的无记忆映射形成对照：非线性来自稳态平均磁化对偏置的</w:t>
      </w:r>
      <m:oMath>
        <m:r>
          <m:rPr>
            <m:sty m:val="p"/>
          </m:rPr>
          <m:t>tanh</m:t>
        </m:r>
      </m:oMath>
      <w:r>
        <w:rPr>
          <w:rFonts w:hint="eastAsia"/>
        </w:rPr>
        <w:t xml:space="preserve">型依赖</w:t>
      </w:r>
      <w:r>
        <w:t xml:space="preserve"> </w:t>
      </w:r>
      <w:r>
        <w:rPr>
          <w:rFonts w:hint="eastAsia"/>
        </w:rPr>
        <w:t xml:space="preserve">(即翻转速率所决定的</w:t>
      </w:r>
      <m:oMath>
        <m:r>
          <m:rPr>
            <m:sty m:val="p"/>
          </m:rPr>
          <m:t>±</m:t>
        </m:r>
        <m:r>
          <m:t>1</m:t>
        </m:r>
      </m:oMath>
      <w:r>
        <w:rPr>
          <w:rFonts w:hint="eastAsia"/>
        </w:rPr>
        <w:t xml:space="preserve">占据均值)；衰减记忆来自相关时间</w:t>
      </w:r>
      <m:oMath>
        <m:r>
          <m:t>τ</m:t>
        </m:r>
      </m:oMath>
      <w:r>
        <w:rPr>
          <w:rFonts w:hint="eastAsia"/>
        </w:rPr>
        <w:t xml:space="preserve">，且</w:t>
      </w:r>
      <m:oMath>
        <m:r>
          <m:t>τ</m:t>
        </m:r>
      </m:oMath>
      <w:r>
        <w:rPr>
          <w:rFonts w:hint="eastAsia"/>
        </w:rPr>
        <w:t xml:space="preserve">随偏置电压指数可调；高维投影来自器件群体及其参数离散</w:t>
      </w:r>
      <w:r>
        <w:t xml:space="preserve"> </w:t>
      </w:r>
      <w:r>
        <w:rPr>
          <w:rFonts w:hint="eastAsia"/>
        </w:rPr>
        <w:t xml:space="preserve">(例如势垒在器件间的分布)，以互不耦合的异质节点群承担高维投影沿袭了延迟反馈虚拟节点类物理储备池的既有做法</w:t>
      </w:r>
      <w:r>
        <w:rPr>
          <w:rStyle w:val="FootnoteReference"/>
        </w:rPr>
        <w:footnoteReference w:id="137"/>
      </w:r>
      <w:r>
        <w:rPr>
          <w:rFonts w:hint="eastAsia"/>
        </w:rPr>
        <w:t xml:space="preserve">，其对随机翻转器件的适配性由第五章检验；统计读出则由窗口内的随机二值平均完成。其中最值得强调的是，最昂贵的递归运算在此被器件的物理弛豫所替代：无需显式存储</w:t>
      </w:r>
      <m:oMath>
        <m:r>
          <m:t>N</m:t>
        </m:r>
        <m:r>
          <m:rPr>
            <m:sty m:val="p"/>
          </m:rPr>
          <m:t>×</m:t>
        </m:r>
        <m:r>
          <m:t>N</m:t>
        </m:r>
      </m:oMath>
      <w:r>
        <w:rPr>
          <w:rFonts w:hint="eastAsia"/>
        </w:rPr>
        <w:t xml:space="preserve">的递归权重矩阵、也无需每步执行</w:t>
      </w:r>
      <m:oMath>
        <m:r>
          <m:t>O</m:t>
        </m:r>
        <m:r>
          <m:rPr>
            <m:sty m:val="p"/>
          </m:rPr>
          <m:t>(</m:t>
        </m:r>
        <m:sSup>
          <m:e>
            <m:r>
              <m:t>N</m:t>
            </m:r>
          </m:e>
          <m:sup>
            <m:r>
              <m:t>2</m:t>
            </m:r>
          </m:sup>
        </m:sSup>
        <m:r>
          <m:rPr>
            <m:sty m:val="p"/>
          </m:rPr>
          <m:t>)</m:t>
        </m:r>
      </m:oMath>
      <w:r>
        <w:rPr>
          <w:rFonts w:hint="eastAsia"/>
        </w:rPr>
        <w:t xml:space="preserve">的递归乘加，这是有状态模式相对数字回声状态网络的根本节省。本小节只交代器件-算法接口本身；该路径与其他物理储备池的比较及研究现状见下节，研究动机与本文定位见1.3.3节。</w:t>
      </w:r>
    </w:p>
    <w:bookmarkEnd w:id="139"/>
    <w:bookmarkStart w:id="168" w:name="研究现状与尚未闭合的空白"/>
    <w:p>
      <w:pPr>
        <w:pStyle w:val="Heading3"/>
      </w:pPr>
      <w:r>
        <w:t xml:space="preserve">1.2.4 </w:t>
      </w:r>
      <w:r>
        <w:rPr>
          <w:rFonts w:hint="eastAsia"/>
        </w:rPr>
        <w:t xml:space="preserve">研究现状与尚未闭合的空白</w:t>
      </w:r>
    </w:p>
    <w:p>
      <w:pPr>
        <w:pStyle w:val="FirstParagraph"/>
      </w:pPr>
      <w:r>
        <w:rPr>
          <w:rFonts w:hint="eastAsia"/>
        </w:rPr>
        <w:t xml:space="preserve">1.2.1至1.2.3节区分了概率二值器件随机性的两种利用方式，即无记忆采样与有状态动力学；围绕两者的研究亦循此分野展开，各自相对成熟，却都尚未闭合。先看无记忆采样一侧：聚焦MRAM-PBNN这一子方向的文献可沿三条相对独立的线索分类。</w:t>
      </w:r>
    </w:p>
    <w:p>
      <w:pPr>
        <w:pStyle w:val="BodyText"/>
      </w:pPr>
      <w:r>
        <w:rPr>
          <w:rFonts w:hint="eastAsia"/>
        </w:rPr>
        <w:t xml:space="preserve">第一条是确定性BNN的MRAM实现。Pham等人的STT-BNN</w:t>
      </w:r>
      <w:r>
        <w:rPr>
          <w:rStyle w:val="FootnoteReference"/>
        </w:rPr>
        <w:footnoteReference w:id="140"/>
      </w:r>
      <w:r>
        <w:rPr>
          <w:rFonts w:hint="eastAsia"/>
        </w:rPr>
        <w:t xml:space="preserve">以2T2J单元差分存储权重，源线电压一次完成整行XNOR-popcount，CIFAR-10/MNIST精度达80.01%/98.42%，能效311</w:t>
      </w:r>
      <w:r>
        <w:t xml:space="preserve"> </w:t>
      </w:r>
      <w:r>
        <w:rPr>
          <w:rFonts w:hint="eastAsia"/>
        </w:rPr>
        <w:t xml:space="preserve">TOPS/W；Fan与Angizi</w:t>
      </w:r>
      <w:r>
        <w:rPr>
          <w:rStyle w:val="FootnoteReference"/>
        </w:rPr>
        <w:footnoteReference w:id="142"/>
      </w:r>
      <w:r>
        <w:rPr>
          <w:rFonts w:hint="eastAsia"/>
        </w:rPr>
        <w:t xml:space="preserve">较早在SOT-MRAM上实现双模式单元，同一阵列既作非易失存储又执行AND/OR/XNOR逻辑；Fujiwara与Kawahara的TGBNN</w:t>
      </w:r>
      <w:r>
        <w:rPr>
          <w:rStyle w:val="FootnoteReference"/>
        </w:rPr>
        <w:footnoteReference w:id="144"/>
      </w:r>
      <w:r>
        <w:rPr>
          <w:rFonts w:hint="eastAsia"/>
        </w:rPr>
        <w:t xml:space="preserve">将训练梯度三值化并直接利用MRAM的概率写入特性完成权重更新，在MNIST上首次把存储器件的随机性写入了训练循环。这一线索把阵列视作乘加引擎，概率信号由CMOS伪随机源外部提供，长处在于阵列计算，但PBNN所需的随机性仍未原生化。</w:t>
      </w:r>
    </w:p>
    <w:p>
      <w:pPr>
        <w:pStyle w:val="BodyText"/>
      </w:pPr>
      <w:r>
        <w:rPr>
          <w:rFonts w:hint="eastAsia"/>
        </w:rPr>
        <w:t xml:space="preserve">第二条是p-bit器件与PSL系统。Camsari等人的3T-1MTJ嵌入式p-bit奠定了概念基础；Borders等人八个单元构成的sMTJ-PSL完成了整数分解实验验证</w:t>
      </w:r>
      <w:r>
        <w:rPr>
          <w:rStyle w:val="FootnoteReference"/>
        </w:rPr>
        <w:footnoteReference w:id="146"/>
      </w:r>
      <w:r>
        <w:rPr>
          <w:rFonts w:hint="eastAsia"/>
        </w:rPr>
        <w:t xml:space="preserve">；Aadit等人的稀疏伊辛机把问题图稀疏化后在FPGA上实现6个数量级的Gibbs采样加速</w:t>
      </w:r>
      <w:r>
        <w:rPr>
          <w:rStyle w:val="FootnoteReference"/>
        </w:rPr>
        <w:footnoteReference w:id="147"/>
      </w:r>
      <w:r>
        <w:rPr>
          <w:rFonts w:hint="eastAsia"/>
        </w:rPr>
        <w:t xml:space="preserve">；后续sMTJ与VCMA-MTJ器件研究又把随机电报噪声推进至纳秒、亚纳秒量级，并提供了可调概率台阶。这一线索主要服务于组合优化与玻尔兹曼采样，对前馈神经网络所需按层有序更新的适配尚在起步阶段，前馈sMTJ-p-bit演示是其中一个重要转折。此外，这一线索的评估重心在演示求解可行性；器件非理想性对求解成功率的灵敏度结构，以及与CMOS</w:t>
      </w:r>
      <w:r>
        <w:t xml:space="preserve"> </w:t>
      </w:r>
      <w:r>
        <w:rPr>
          <w:rFonts w:hint="eastAsia"/>
        </w:rPr>
        <w:t xml:space="preserve">p-bit、FPGA、CPU等平台在统一口径下的能耗-时间对比，仍缺乏系统结果，这构成本文第三章所针对的评估空白。</w:t>
      </w:r>
    </w:p>
    <w:p>
      <w:pPr>
        <w:pStyle w:val="BodyText"/>
      </w:pPr>
      <w:r>
        <w:rPr>
          <w:rFonts w:hint="eastAsia"/>
        </w:rPr>
        <w:t xml:space="preserve">第三条是MRAM-PBNN的协同实现。Huang等人</w:t>
      </w:r>
      <w:r>
        <w:rPr>
          <w:rStyle w:val="FootnoteReference"/>
        </w:rPr>
        <w:footnoteReference w:id="149"/>
      </w:r>
      <w:r>
        <w:rPr>
          <w:rFonts w:hint="eastAsia"/>
        </w:rPr>
        <w:t xml:space="preserve">与Gu等人</w:t>
      </w:r>
      <w:r>
        <w:rPr>
          <w:rStyle w:val="FootnoteReference"/>
        </w:rPr>
        <w:footnoteReference w:id="151"/>
      </w:r>
      <w:r>
        <w:rPr>
          <w:rFonts w:hint="eastAsia"/>
        </w:rPr>
        <w:t xml:space="preserve">是相对系统的尝试，将SOT-MRAM阵列同时作为权重存储、XNOR-popcount引擎与伯努利采样源，在MNIST上验证了概率二值推断的精度竞争力。然而，在如何利用sMTJ的时域采样能力以避开大矩阵向多阵列的空间分块方面，现有工作仍采用传统的空间展开方案；概率二值计算把精度维度转移到时间维度这一本质优势，在映射层面尚未得到充分利用。</w:t>
      </w:r>
    </w:p>
    <w:p>
      <w:pPr>
        <w:pStyle w:val="BodyText"/>
      </w:pPr>
      <w:r>
        <w:rPr>
          <w:rFonts w:hint="eastAsia"/>
        </w:rPr>
        <w:t xml:space="preserve">综合三条线索，无记忆采样侧尚未闭合的关键空白在于映射方式：现有MRAM-PBNN工作以空间分块承载大权重矩阵、以CMOS伪随机源提供概率信号，而以sMTJ本征Sigmoid采样为随机源、以时域采样为映射自由度，从而在等效精度与阵列规模之间重新分配硬件资源的方案，尚缺系统评估。</w:t>
      </w:r>
    </w:p>
    <w:p>
      <w:pPr>
        <w:pStyle w:val="BodyText"/>
      </w:pPr>
      <w:r>
        <w:rPr>
          <w:rFonts w:hint="eastAsia"/>
        </w:rPr>
        <w:t xml:space="preserve">转入有状态动力学一侧。储备池计算自回声状态网络</w:t>
      </w:r>
      <w:r>
        <w:rPr>
          <w:rStyle w:val="FootnoteReference"/>
        </w:rPr>
        <w:footnoteReference w:id="153"/>
      </w:r>
      <w:r>
        <w:rPr>
          <w:rFonts w:hint="eastAsia"/>
        </w:rPr>
        <w:t xml:space="preserve">与液态状态机</w:t>
      </w:r>
      <w:r>
        <w:rPr>
          <w:rStyle w:val="FootnoteReference"/>
        </w:rPr>
        <w:footnoteReference w:id="155"/>
      </w:r>
      <w:r>
        <w:rPr>
          <w:rFonts w:hint="eastAsia"/>
        </w:rPr>
        <w:t xml:space="preserve">提出以来，逐步发展出物理储备池这一分支，其核心观察是：任何具备足够丰富的固定非线性动力学与适当衰减记忆的物理系统，都可不经训练直接充当储备池，仅训练末端的线性读出。沿此思路，光子延迟系统以单个非线性节点配合延迟反馈构造大量虚拟节点，最早给出高性能物理储备池的实验范例</w:t>
      </w:r>
      <w:r>
        <w:rPr>
          <w:rStyle w:val="FootnoteReference"/>
        </w:rPr>
        <w:footnoteReference w:id="157"/>
      </w:r>
      <w:r>
        <w:rPr>
          <w:rFonts w:hint="eastAsia"/>
        </w:rPr>
        <w:t xml:space="preserve">；忆阻器与原子开关网络、软体与机械系统以及自旋电子学等多种介质随后相继被验证，相关进展已有系统综述</w:t>
      </w:r>
      <w:r>
        <w:rPr>
          <w:rStyle w:val="FootnoteReference"/>
        </w:rPr>
        <w:footnoteReference w:id="158"/>
      </w:r>
      <w:r>
        <w:rPr>
          <w:rStyle w:val="FootnoteReference"/>
        </w:rPr>
        <w:footnoteReference w:id="160"/>
      </w:r>
      <w:r>
        <w:rPr>
          <w:rFonts w:hint="eastAsia"/>
        </w:rPr>
        <w:t xml:space="preserve">。在自旋电子学内部，主流路线以自旋力矩纳米振荡器为动力学节点，借其非线性振荡瞬态与时分复用的虚拟节点完成口语数字识别等任务</w:t>
      </w:r>
      <w:r>
        <w:rPr>
          <w:rStyle w:val="FootnoteReference"/>
        </w:rPr>
        <w:footnoteReference w:id="162"/>
      </w:r>
      <w:r>
        <w:rPr>
          <w:rFonts w:hint="eastAsia"/>
        </w:rPr>
        <w:t xml:space="preserve">，并进一步扩展到耦合振荡器与自旋波系统</w:t>
      </w:r>
      <w:r>
        <w:rPr>
          <w:rStyle w:val="FootnoteReference"/>
        </w:rPr>
        <w:footnoteReference w:id="164"/>
      </w:r>
      <w:r>
        <w:rPr>
          <w:rFonts w:hint="eastAsia"/>
        </w:rPr>
        <w:t xml:space="preserve">；这一主线所利用的是确定性</w:t>
      </w:r>
      <w:r>
        <w:t xml:space="preserve"> </w:t>
      </w:r>
      <w:r>
        <w:rPr>
          <w:rFonts w:hint="eastAsia"/>
        </w:rPr>
        <w:t xml:space="preserve">(含少量热噪声)</w:t>
      </w:r>
      <w:r>
        <w:t xml:space="preserve"> </w:t>
      </w:r>
      <w:r>
        <w:rPr>
          <w:rFonts w:hint="eastAsia"/>
        </w:rPr>
        <w:t xml:space="preserve">的连续相位动力学，与超顺磁器件依靠热涨落的随机两态翻转在物理机制上并不相同。</w:t>
      </w:r>
    </w:p>
    <w:p>
      <w:pPr>
        <w:pStyle w:val="BodyText"/>
      </w:pPr>
      <w:r>
        <w:rPr>
          <w:rFonts w:hint="eastAsia"/>
        </w:rPr>
        <w:t xml:space="preserve">相比之下，以超顺磁随机MTJ(即p-bit器件本身)</w:t>
      </w:r>
      <w:r>
        <w:t xml:space="preserve"> </w:t>
      </w:r>
      <w:r>
        <w:rPr>
          <w:rFonts w:hint="eastAsia"/>
        </w:rPr>
        <w:t xml:space="preserve">作为储备池节点的研究仍相当稀少：随机MTJ的文献主体集中于采样与优化</w:t>
      </w:r>
      <w:r>
        <w:t xml:space="preserve"> </w:t>
      </w:r>
      <w:r>
        <w:rPr>
          <w:rFonts w:hint="eastAsia"/>
        </w:rPr>
        <w:t xml:space="preserve">(PSL与玻尔兹曼机)，自旋电子储备池的主体又建立在确定性振荡器之上，近期报道的电压可调随机电报噪声器件亦面向采样类非常规计算而非储备池评估</w:t>
      </w:r>
      <w:r>
        <w:rPr>
          <w:rStyle w:val="FootnoteReference"/>
        </w:rPr>
        <w:footnoteReference w:id="166"/>
      </w:r>
      <w:r>
        <w:rPr>
          <w:rFonts w:hint="eastAsia"/>
        </w:rPr>
        <w:t xml:space="preserve">，二者之间存在明显空白。更关键的是一个尚未澄清的疑问：器件随机性在采样任务中是被刻意利用的资源，在储备池中却未必有利，因为热涨落会削弱储备池所依赖的状态可重复性，随机翻转器件能否胜任储备池节点并不显然。</w:t>
      </w:r>
    </w:p>
    <w:p>
      <w:pPr>
        <w:pStyle w:val="BodyText"/>
      </w:pPr>
      <w:r>
        <w:rPr>
          <w:rFonts w:hint="eastAsia"/>
        </w:rPr>
        <w:t xml:space="preserve">综观两侧，无记忆采样侧的空白在于映射方式，即尚未把精度维度从空间真正搬到时间；有状态动力学侧的空白在于器件适配性，即随机翻转器件能否充当储备池节点尚无定论。二者彼此独立，却共享同一个机会：已校准的sMTJ既可作瞬时随机源，又可作有状态的动力学节点。本文正从这一组缺口切入。</w:t>
      </w:r>
    </w:p>
    <w:bookmarkEnd w:id="168"/>
    <w:bookmarkEnd w:id="169"/>
    <w:bookmarkStart w:id="185" w:name="研究思路与本文组织"/>
    <w:p>
      <w:pPr>
        <w:pStyle w:val="Heading2"/>
      </w:pPr>
      <w:r>
        <w:t xml:space="preserve">1.3 </w:t>
      </w:r>
      <w:r>
        <w:rPr>
          <w:rFonts w:hint="eastAsia"/>
        </w:rPr>
        <w:t xml:space="preserve">研究思路与本文组织</w:t>
      </w:r>
    </w:p>
    <w:p>
      <w:pPr>
        <w:pStyle w:val="FirstParagraph"/>
      </w:pPr>
      <w:r>
        <w:rPr>
          <w:rFonts w:hint="eastAsia"/>
        </w:rPr>
        <w:t xml:space="preserve">本节从创新点的角度组织全文思路，并在末节落实为具体工作与章节安排。本文的贡献围绕以统计代替精度这一主线，在范式、架构与任务三个层面递进展开。范式层面</w:t>
      </w:r>
      <w:r>
        <w:t xml:space="preserve"> </w:t>
      </w:r>
      <w:r>
        <w:rPr>
          <w:rFonts w:hint="eastAsia"/>
        </w:rPr>
        <w:t xml:space="preserve">(1.3.1节)，由空间展开转向时域展开，把概率精度从受物理约束的阵列规模解放到可累积的时间维度；架构层面</w:t>
      </w:r>
      <w:r>
        <w:t xml:space="preserve"> </w:t>
      </w:r>
      <w:r>
        <w:rPr>
          <w:rFonts w:hint="eastAsia"/>
        </w:rPr>
        <w:t xml:space="preserve">(1.3.2节)，给出存储、采样与乘加三位一体的全自旋实现，从物理上消除独立的CMOS熵源；任务层面</w:t>
      </w:r>
      <w:r>
        <w:t xml:space="preserve"> </w:t>
      </w:r>
      <w:r>
        <w:rPr>
          <w:rFonts w:hint="eastAsia"/>
        </w:rPr>
        <w:t xml:space="preserve">(1.3.3节)，把同一器件的时域相关性用作衰减记忆，将其任务域延伸至储备池计算这一第三类任务。前两者面向无记忆采样，着力于以更低的硬件代价换取所需精度；后者把可用资源从瞬时随机性延伸到时域动力学。三项贡献由四段工作承载：器件建模平台提供三类任务共享的物理基础，伊辛求解评估回应1.2.4节所指的求解侧评估空白并给出同一阵列多任务能力的第一类证据，PBNN仿真落实范式与架构两个层面的创新，储备池评估落实任务层面的创新。各段共享同一器件级Sigmoid接口与同一仿真后端，1.3.4节据此汇总并给出全文组织。</w:t>
      </w:r>
    </w:p>
    <w:bookmarkStart w:id="178" w:name="精度承载由空间展开转向时域展开"/>
    <w:p>
      <w:pPr>
        <w:pStyle w:val="Heading3"/>
      </w:pPr>
      <w:r>
        <w:t xml:space="preserve">1.3.1 </w:t>
      </w:r>
      <w:r>
        <w:rPr>
          <w:rFonts w:hint="eastAsia"/>
        </w:rPr>
        <w:t xml:space="preserve">精度承载：由空间展开转向时域展开</w:t>
      </w:r>
    </w:p>
    <w:p>
      <w:pPr>
        <w:pStyle w:val="FirstParagraph"/>
      </w:pPr>
      <w:r>
        <w:rPr>
          <w:rFonts w:hint="eastAsia"/>
        </w:rPr>
        <w:t xml:space="preserve">传统CIM设计将权重矩阵完全展开于物理阵列之上，单次行激活即完成</w:t>
      </w:r>
      <m:oMath>
        <m:r>
          <m:t>N</m:t>
        </m:r>
      </m:oMath>
      <w:r>
        <w:rPr>
          <w:rFonts w:hint="eastAsia"/>
        </w:rPr>
        <w:t xml:space="preserve">个乘加运算，以阵列规模换取延迟。1.1.1节已给出该路线的定量约束：IR</w:t>
      </w:r>
      <w:r>
        <w:t xml:space="preserve"> drop、sneak </w:t>
      </w:r>
      <w:r>
        <w:rPr>
          <w:rFonts w:hint="eastAsia"/>
        </w:rPr>
        <w:t xml:space="preserve">path与良率把典型子阵列压在</w:t>
      </w:r>
      <m:oMath>
        <m:r>
          <m:t>128</m:t>
        </m:r>
        <m:r>
          <m:rPr>
            <m:sty m:val="p"/>
          </m:rPr>
          <m:t>×</m:t>
        </m:r>
        <m:r>
          <m:t>128</m:t>
        </m:r>
      </m:oMath>
      <w:r>
        <w:rPr>
          <w:rFonts w:hint="eastAsia"/>
        </w:rPr>
        <w:t xml:space="preserve">至</w:t>
      </w:r>
      <m:oMath>
        <m:r>
          <m:t>256</m:t>
        </m:r>
        <m:r>
          <m:rPr>
            <m:sty m:val="p"/>
          </m:rPr>
          <m:t>×</m:t>
        </m:r>
        <m:r>
          <m:t>256</m:t>
        </m:r>
      </m:oMath>
      <w:r>
        <w:rPr>
          <w:rFonts w:hint="eastAsia"/>
        </w:rPr>
        <w:t xml:space="preserve">，列级ADC占据外围开销之首，分块映射下部分和的跨阵列汇聚约占总能量四成。空间展开对这些约束的应对只能是复制与摊薄——ISAAC类设计为保持流水线把首层权重复制上万份，并明确回避在线重编程</w:t>
      </w:r>
      <w:r>
        <w:rPr>
          <w:rStyle w:val="FootnoteReference"/>
        </w:rPr>
        <w:footnoteReference w:id="170"/>
      </w:r>
      <w:r>
        <w:rPr>
          <w:rFonts w:hint="eastAsia"/>
        </w:rPr>
        <w:t xml:space="preserve">——分块间的部分和搬移由此成为结构性固定开销。对多比特权重还有一层空间代价：</w:t>
      </w:r>
      <m:oMath>
        <m:r>
          <m:t>B</m:t>
        </m:r>
      </m:oMath>
      <w:r>
        <w:rPr>
          <w:rFonts w:hint="eastAsia"/>
        </w:rPr>
        <w:t xml:space="preserve">比特权重需按位切片占用</w:t>
      </w:r>
      <m:oMath>
        <m:r>
          <m:t>O</m:t>
        </m:r>
        <m:r>
          <m:rPr>
            <m:sty m:val="p"/>
          </m:rPr>
          <m:t>(</m:t>
        </m:r>
        <m:r>
          <m:t>B</m:t>
        </m:r>
        <m:r>
          <m:rPr>
            <m:sty m:val="p"/>
          </m:rPr>
          <m:t>)</m:t>
        </m:r>
      </m:oMath>
      <w:r>
        <w:rPr>
          <w:rFonts w:hint="eastAsia"/>
        </w:rPr>
        <w:t xml:space="preserve">个单元，且位线上的模拟部分和须以高分辨ADC数字化后才能跨块累加。</w:t>
      </w:r>
    </w:p>
    <w:p>
      <w:pPr>
        <w:pStyle w:val="BodyText"/>
      </w:pPr>
      <w:r>
        <w:drawing>
          <wp:inline>
            <wp:extent cx="5334000" cy="3479707"/>
            <wp:effectExtent b="0" l="0" r="0" t="0"/>
            <wp:docPr descr="" title="" id="172" name="Picture"/>
            <a:graphic>
              <a:graphicData uri="http://schemas.openxmlformats.org/drawingml/2006/picture">
                <pic:pic>
                  <pic:nvPicPr>
                    <pic:cNvPr descr="./figs/Chapter01_local_03.png" id="173" name="Picture"/>
                    <pic:cNvPicPr>
                      <a:picLocks noChangeArrowheads="1" noChangeAspect="1"/>
                    </pic:cNvPicPr>
                  </pic:nvPicPr>
                  <pic:blipFill>
                    <a:blip r:embed="rId171"/>
                    <a:stretch>
                      <a:fillRect/>
                    </a:stretch>
                  </pic:blipFill>
                  <pic:spPr bwMode="auto">
                    <a:xfrm>
                      <a:off x="0" y="0"/>
                      <a:ext cx="5334000" cy="3479707"/>
                    </a:xfrm>
                    <a:prstGeom prst="rect">
                      <a:avLst/>
                    </a:prstGeom>
                    <a:noFill/>
                    <a:ln w="9525">
                      <a:noFill/>
                      <a:headEnd/>
                      <a:tailEnd/>
                    </a:ln>
                  </pic:spPr>
                </pic:pic>
              </a:graphicData>
            </a:graphic>
          </wp:inline>
        </w:drawing>
      </w:r>
    </w:p>
    <w:p>
      <w:pPr>
        <w:pStyle w:val="BodyText"/>
      </w:pPr>
      <w:r>
        <w:rPr>
          <w:rFonts w:hint="eastAsia"/>
          <w:b/>
          <w:bCs/>
        </w:rPr>
        <w:t xml:space="preserve">图1.3</w:t>
      </w:r>
      <w:r>
        <w:t xml:space="preserve"> </w:t>
      </w:r>
      <w:r>
        <w:rPr>
          <w:rFonts w:hint="eastAsia"/>
        </w:rPr>
        <w:t xml:space="preserve">PBNN前向流水线及空间/时域展开对比。传统CIM以多子阵列空间分块承载大规模权重矩阵，PBNN则利用sMTJ的重复伯努利采样把概率精度转移到时间维度，从而降低跨阵列部分和聚合与数据搬移开销。</w:t>
      </w:r>
    </w:p>
    <w:p>
      <w:pPr>
        <w:pStyle w:val="BodyText"/>
      </w:pPr>
      <w:r>
        <w:rPr>
          <w:rFonts w:hint="eastAsia"/>
        </w:rPr>
        <w:t xml:space="preserve">本文所采用的PBNN在前向过程中的等效乘加由对伯努利采样序列</w:t>
      </w:r>
      <m:oMath>
        <m:r>
          <m:rPr>
            <m:sty m:val="p"/>
          </m:rPr>
          <m:t>{</m:t>
        </m:r>
        <m:sSubSup>
          <m:e>
            <m:r>
              <m:t>w</m:t>
            </m:r>
          </m:e>
          <m:sub>
            <m:r>
              <m:t>i</m:t>
            </m:r>
            <m:r>
              <m:t>j</m:t>
            </m:r>
          </m:sub>
          <m:sup>
            <m:r>
              <m:rPr>
                <m:sty m:val="p"/>
              </m:rPr>
              <m:t>(</m:t>
            </m:r>
            <m:r>
              <m:t>t</m:t>
            </m:r>
            <m:r>
              <m:rPr>
                <m:sty m:val="p"/>
              </m:rPr>
              <m:t>)</m:t>
            </m:r>
          </m:sup>
        </m:sSubSup>
        <m:sSubSup>
          <m:e>
            <m:r>
              <m:rPr>
                <m:sty m:val="p"/>
              </m:rPr>
              <m:t>}</m:t>
            </m:r>
          </m:e>
          <m:sub>
            <m:r>
              <m:t>t</m:t>
            </m:r>
            <m:r>
              <m:rPr>
                <m:sty m:val="p"/>
              </m:rPr>
              <m:t>=</m:t>
            </m:r>
            <m:r>
              <m:t>1</m:t>
            </m:r>
          </m:sub>
          <m:sup>
            <m:r>
              <m:t>T</m:t>
            </m:r>
          </m:sup>
        </m:sSubSup>
      </m:oMath>
      <w:r>
        <w:rPr>
          <w:rFonts w:hint="eastAsia"/>
        </w:rPr>
        <w:t xml:space="preserve">在时间维度上的累积逼近：</w:t>
      </w:r>
    </w:p>
    <w:p>
      <w:pPr>
        <w:pStyle w:val="BodyText"/>
      </w:pPr>
      <m:oMathPara>
        <m:oMathParaPr>
          <m:jc m:val="center"/>
        </m:oMathParaPr>
        <m:oMath>
          <m:sSub>
            <m:e>
              <m:acc>
                <m:accPr>
                  <m:chr m:val="̂"/>
                </m:accPr>
                <m:e>
                  <m:r>
                    <m:t>z</m:t>
                  </m:r>
                </m:e>
              </m:acc>
            </m:e>
            <m:sub>
              <m:r>
                <m:t>i</m:t>
              </m:r>
            </m:sub>
          </m:sSub>
          <m:r>
            <m:t> </m:t>
          </m:r>
          <m:r>
            <m:rPr>
              <m:sty m:val="p"/>
            </m:rPr>
            <m:t>=</m:t>
          </m:r>
          <m:r>
            <m:t> </m:t>
          </m:r>
          <m:f>
            <m:fPr>
              <m:type m:val="bar"/>
            </m:fPr>
            <m:num>
              <m:r>
                <m:t>1</m:t>
              </m:r>
            </m:num>
            <m:den>
              <m:r>
                <m:t>T</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j</m:t>
                  </m:r>
                  <m:r>
                    <m:rPr>
                      <m:sty m:val="p"/>
                    </m:rPr>
                    <m:t>=</m:t>
                  </m:r>
                  <m:r>
                    <m:t>1</m:t>
                  </m:r>
                </m:sub>
                <m:sup>
                  <m:r>
                    <m:t>N</m:t>
                  </m:r>
                </m:sup>
                <m:e>
                  <m:sSubSup>
                    <m:e>
                      <m:r>
                        <m:t>w</m:t>
                      </m:r>
                    </m:e>
                    <m:sub>
                      <m:r>
                        <m:t>i</m:t>
                      </m:r>
                      <m:r>
                        <m:t>j</m:t>
                      </m:r>
                    </m:sub>
                    <m:sup>
                      <m:r>
                        <m:rPr>
                          <m:sty m:val="p"/>
                        </m:rPr>
                        <m:t>(</m:t>
                      </m:r>
                      <m:r>
                        <m:t>t</m:t>
                      </m:r>
                      <m:r>
                        <m:rPr>
                          <m:sty m:val="p"/>
                        </m:rPr>
                        <m:t>)</m:t>
                      </m:r>
                    </m:sup>
                  </m:sSubSup>
                </m:e>
              </m:nary>
            </m:e>
          </m:nary>
          <m:r>
            <m:t> </m:t>
          </m:r>
          <m:sSub>
            <m:e>
              <m:r>
                <m:t>x</m:t>
              </m:r>
            </m:e>
            <m:sub>
              <m:r>
                <m:t>j</m:t>
              </m:r>
            </m:sub>
          </m:sSub>
          <m:r>
            <m:t> </m:t>
          </m:r>
          <m:limLow>
            <m:e>
              <m:limUpp>
                <m:e>
                  <m:r>
                    <m:rPr>
                      <m:sty m:val="p"/>
                    </m:rPr>
                    <m:t>→</m:t>
                  </m:r>
                </m:e>
                <m:lim>
                  <m:r>
                    <m:t>​</m:t>
                  </m:r>
                </m:lim>
              </m:limUpp>
            </m:e>
            <m:lim>
              <m:r>
                <m:t>T</m:t>
              </m:r>
              <m:r>
                <m:rPr>
                  <m:sty m:val="p"/>
                </m:rPr>
                <m:t>→</m:t>
              </m:r>
              <m:r>
                <m:rPr>
                  <m:sty m:val="p"/>
                </m:rPr>
                <m:t>∞</m:t>
              </m:r>
            </m:lim>
          </m:limLow>
          <m:r>
            <m:t> </m:t>
          </m:r>
          <m:sSub>
            <m:e>
              <m:r>
                <m:t>μ</m:t>
              </m:r>
            </m:e>
            <m:sub>
              <m:r>
                <m:t>i</m:t>
              </m:r>
            </m:sub>
          </m:sSub>
          <m:r>
            <m:t> </m:t>
          </m:r>
          <m:r>
            <m:rPr>
              <m:sty m:val="p"/>
            </m:rPr>
            <m:t>=</m:t>
          </m:r>
          <m:r>
            <m:t> </m:t>
          </m:r>
          <m:nary>
            <m:naryPr>
              <m:chr m:val="∑"/>
              <m:limLoc m:val="undOvr"/>
              <m:subHide m:val="off"/>
              <m:supHide m:val="off"/>
            </m:naryPr>
            <m:sub>
              <m:r>
                <m:t>j</m:t>
              </m:r>
              <m:r>
                <m:rPr>
                  <m:sty m:val="p"/>
                </m:rPr>
                <m:t>=</m:t>
              </m:r>
              <m:r>
                <m:t>1</m:t>
              </m:r>
            </m:sub>
            <m:sup>
              <m:r>
                <m:t>N</m:t>
              </m:r>
            </m:sup>
            <m:e>
              <m:r>
                <m:rPr>
                  <m:sty m:val="p"/>
                </m:rPr>
                <m:t>(</m:t>
              </m:r>
            </m:e>
          </m:nary>
          <m:r>
            <m:t>2</m:t>
          </m:r>
          <m:sSub>
            <m:e>
              <m:r>
                <m:t>p</m:t>
              </m:r>
            </m:e>
            <m:sub>
              <m:r>
                <m:t>i</m:t>
              </m:r>
              <m:r>
                <m:t>j</m:t>
              </m:r>
            </m:sub>
          </m:sSub>
          <m:r>
            <m:rPr>
              <m:sty m:val="p"/>
            </m:rPr>
            <m:t>−</m:t>
          </m:r>
          <m:r>
            <m:t>1</m:t>
          </m:r>
          <m:r>
            <m:rPr>
              <m:sty m:val="p"/>
            </m:rPr>
            <m:t>)</m:t>
          </m:r>
          <m:r>
            <m:t> </m:t>
          </m:r>
          <m:sSub>
            <m:e>
              <m:r>
                <m:t>x</m:t>
              </m:r>
            </m:e>
            <m:sub>
              <m:r>
                <m:t>j</m:t>
              </m:r>
            </m:sub>
          </m:sSub>
          <m:r>
            <m:rPr>
              <m:sty m:val="p"/>
            </m:rPr>
            <m:t>.</m:t>
          </m:r>
        </m:oMath>
      </m:oMathPara>
    </w:p>
    <w:p>
      <w:pPr>
        <w:pStyle w:val="FirstParagraph"/>
      </w:pPr>
      <w:r>
        <w:rPr>
          <w:rFonts w:hint="eastAsia"/>
        </w:rPr>
        <w:t xml:space="preserve">该表达式的硬件含义可分三层。第一层是精度的载体：每个物理单元每个采样周期仅提供</w:t>
      </w:r>
      <m:oMath>
        <m:r>
          <m:rPr>
            <m:sty m:val="p"/>
          </m:rPr>
          <m:t>±</m:t>
        </m:r>
        <m:r>
          <m:t>1</m:t>
        </m:r>
      </m:oMath>
      <w:r>
        <w:rPr>
          <w:rFonts w:hint="eastAsia"/>
        </w:rPr>
        <w:t xml:space="preserve">的单比特信息，同一单元在不同周期给出同一权重的不同随机实例，等效精度由采样次数</w:t>
      </w:r>
      <m:oMath>
        <m:r>
          <m:t>T</m:t>
        </m:r>
      </m:oMath>
      <w:r>
        <w:rPr>
          <w:rFonts w:hint="eastAsia"/>
        </w:rPr>
        <w:t xml:space="preserve">而非元胞位宽承载——相对多比特CIM以</w:t>
      </w:r>
      <m:oMath>
        <m:r>
          <m:t>O</m:t>
        </m:r>
        <m:r>
          <m:rPr>
            <m:sty m:val="p"/>
          </m:rPr>
          <m:t>(</m:t>
        </m:r>
        <m:r>
          <m:t>B</m:t>
        </m:r>
        <m:r>
          <m:rPr>
            <m:sty m:val="p"/>
          </m:rPr>
          <m:t>)</m:t>
        </m:r>
      </m:oMath>
      <w:r>
        <w:rPr>
          <w:rFonts w:hint="eastAsia"/>
        </w:rPr>
        <w:t xml:space="preserve">个单元位切片，这里每权重恒为一个单元，权重矩阵的物理占用与所需分块数按位宽因子折减。第二层是读出与累加的形态：位线量须分辨的只是单比特样本的popcount，低分辨判决加数字计数器即可胜任，跨块与跨周期的部分和退化为同一计数器上的顺序累加，无须高分辨ADC与跨阵列的缓存-片上网络汇聚路径，这一以低分辨读出替代高分辨ADC的方向已有独立验证</w:t>
      </w:r>
      <w:r>
        <w:rPr>
          <w:rStyle w:val="FootnoteReference"/>
        </w:rPr>
        <w:footnoteReference w:id="174"/>
      </w:r>
      <w:r>
        <w:rPr>
          <w:rFonts w:hint="eastAsia"/>
        </w:rPr>
        <w:t xml:space="preserve">。第三层是阵列规模与矩阵规模的解耦：因分布参数</w:t>
      </w:r>
      <m:oMath>
        <m:sSub>
          <m:e>
            <m:r>
              <m:t>θ</m:t>
            </m:r>
          </m:e>
          <m:sub>
            <m:r>
              <m:t>i</m:t>
            </m:r>
            <m:r>
              <m:t>j</m:t>
            </m:r>
          </m:sub>
        </m:sSub>
      </m:oMath>
      <w:r>
        <w:rPr>
          <w:rFonts w:hint="eastAsia"/>
        </w:rPr>
        <w:t xml:space="preserve">以数字码字存于外围而非阵列内</w:t>
      </w:r>
      <w:r>
        <w:t xml:space="preserve"> </w:t>
      </w:r>
      <w:r>
        <w:rPr>
          <w:rFonts w:hint="eastAsia"/>
        </w:rPr>
        <w:t xml:space="preserve">(第四章)，同一物理阵列可逐块装载不同子块的分布参数、各采样</w:t>
      </w:r>
      <m:oMath>
        <m:r>
          <m:t>T</m:t>
        </m:r>
      </m:oMath>
      <w:r>
        <w:rPr>
          <w:rFonts w:hint="eastAsia"/>
        </w:rPr>
        <w:t xml:space="preserve">次，以推理延迟按块数乘</w:t>
      </w:r>
      <m:oMath>
        <m:r>
          <m:t>T</m:t>
        </m:r>
      </m:oMath>
      <w:r>
        <w:rPr>
          <w:rFonts w:hint="eastAsia"/>
        </w:rPr>
        <w:t xml:space="preserve">增长为代价，换取单阵列占用与计数器域的就地累加。阵列规模由此成为可按IR</w:t>
      </w:r>
      <w:r>
        <w:t xml:space="preserve"> </w:t>
      </w:r>
      <w:r>
        <w:rPr>
          <w:rFonts w:hint="eastAsia"/>
        </w:rPr>
        <w:t xml:space="preserve">drop、良率与面积预算独立选取的设计变量：更短的位线使IR</w:t>
      </w:r>
      <w:r>
        <w:t xml:space="preserve"> </w:t>
      </w:r>
      <w:r>
        <w:rPr>
          <w:rFonts w:hint="eastAsia"/>
        </w:rPr>
        <w:t xml:space="preserve">drop回到良性区间，更小的面积改善良率并适配边缘器件的预算，这正是1.1.1节所述约束下小阵列的工程价值。该路线的适用边界同样明确：</w:t>
      </w:r>
      <m:oMath>
        <m:r>
          <m:t>T</m:t>
        </m:r>
      </m:oMath>
      <w:r>
        <w:rPr>
          <w:rFonts w:hint="eastAsia"/>
        </w:rPr>
        <w:t xml:space="preserve">次采样使延迟与采样能耗线性增长，统计误差仅按</w:t>
      </w:r>
      <m:oMath>
        <m:r>
          <m:t>O</m:t>
        </m:r>
        <m:r>
          <m:rPr>
            <m:sty m:val="p"/>
          </m:rPr>
          <m:t>(</m:t>
        </m:r>
        <m:r>
          <m:t>1</m:t>
        </m:r>
        <m:r>
          <m:rPr>
            <m:sty m:val="p"/>
          </m:rPr>
          <m:t>/</m:t>
        </m:r>
        <m:rad>
          <m:radPr>
            <m:degHide m:val="on"/>
          </m:radPr>
          <m:deg/>
          <m:e>
            <m:r>
              <m:t>T</m:t>
            </m:r>
          </m:e>
        </m:rad>
        <m:r>
          <m:rPr>
            <m:sty m:val="p"/>
          </m:rPr>
          <m:t>)</m:t>
        </m:r>
      </m:oMath>
      <w:r>
        <w:rPr>
          <w:rFonts w:hint="eastAsia"/>
        </w:rPr>
        <w:t xml:space="preserve">收窄</w:t>
      </w:r>
      <w:r>
        <w:t xml:space="preserve"> </w:t>
      </w:r>
      <w:r>
        <w:rPr>
          <w:rFonts w:hint="eastAsia"/>
        </w:rPr>
        <w:t xml:space="preserve">(1.1.2节)，故其获益集中在延迟预算宽松、低等效位宽即足的推理负载，第四章将表明PBNN推理属于此类</w:t>
      </w:r>
      <w:r>
        <w:t xml:space="preserve"> (</w:t>
      </w:r>
      <m:oMath>
        <m:r>
          <m:t>T</m:t>
        </m:r>
        <m:r>
          <m:rPr>
            <m:sty m:val="p"/>
          </m:rPr>
          <m:t>=</m:t>
        </m:r>
        <m:r>
          <m:t>4</m:t>
        </m:r>
      </m:oMath>
      <w:r>
        <w:rPr>
          <w:rFonts w:hint="eastAsia"/>
        </w:rPr>
        <w:t xml:space="preserve">即收敛)；高吞吐高精度负载仍属空间展开的领地。sMTJ的器件物理支撑时域采样所需的节拍：超顺磁弛豫时间已实测短至8</w:t>
      </w:r>
      <w:r>
        <w:t xml:space="preserve"> ns</w:t>
      </w:r>
      <w:r>
        <w:rPr>
          <w:rStyle w:val="FootnoteReference"/>
        </w:rPr>
        <w:footnoteReference w:id="176"/>
      </w:r>
      <w:r>
        <w:rPr>
          <w:rFonts w:hint="eastAsia"/>
        </w:rPr>
        <w:t xml:space="preserve">、随机翻转的纳秒级操作已获演示</w:t>
      </w:r>
      <w:r>
        <w:rPr>
          <w:rStyle w:val="FootnoteReference"/>
        </w:rPr>
        <w:footnoteReference w:id="177"/>
      </w:r>
      <w:r>
        <w:rPr>
          <w:rFonts w:hint="eastAsia"/>
        </w:rPr>
        <w:t xml:space="preserve">。需要厘清三层收益中已闭合与待验的部分：第一层</w:t>
      </w:r>
      <w:r>
        <w:t xml:space="preserve"> </w:t>
      </w:r>
      <w:r>
        <w:rPr>
          <w:rFonts w:hint="eastAsia"/>
        </w:rPr>
        <w:t xml:space="preserve">(元胞占用随位宽因子折减)</w:t>
      </w:r>
      <w:r>
        <w:t xml:space="preserve"> </w:t>
      </w:r>
      <w:r>
        <w:rPr>
          <w:rFonts w:hint="eastAsia"/>
        </w:rPr>
        <w:t xml:space="preserve">与第二层</w:t>
      </w:r>
      <w:r>
        <w:t xml:space="preserve"> </w:t>
      </w:r>
      <w:r>
        <w:rPr>
          <w:rFonts w:hint="eastAsia"/>
        </w:rPr>
        <w:t xml:space="preserve">(列级高分辨ADC让位于低分辨读出加计数、专用熵源移除)</w:t>
      </w:r>
      <w:r>
        <w:t xml:space="preserve"> </w:t>
      </w:r>
      <w:r>
        <w:rPr>
          <w:rFonts w:hint="eastAsia"/>
        </w:rPr>
        <w:t xml:space="preserve">已在第四章的单阵列闭环中量化，直接回应1.1.1节所列的位切片占用、ADC开销与熵源开销三项痛点；第三层的跨块时分复用意在消除部分和的跨阵列汇聚</w:t>
      </w:r>
      <w:r>
        <w:t xml:space="preserve"> </w:t>
      </w:r>
      <w:r>
        <w:rPr>
          <w:rFonts w:hint="eastAsia"/>
        </w:rPr>
        <w:t xml:space="preserve">(即41%那一项)，其系统级评估留作后续工作，本文只给出机制与代价核算而不作实测声明。就本质而言，这一路线把精度由受物理约束的空间资源改写为可调度的时间资源，是概率取代精度在架构维度的体现。</w:t>
      </w:r>
    </w:p>
    <w:bookmarkEnd w:id="178"/>
    <w:bookmarkStart w:id="180" w:name="全自旋概率二值计算架构"/>
    <w:p>
      <w:pPr>
        <w:pStyle w:val="Heading3"/>
      </w:pPr>
      <w:r>
        <w:t xml:space="preserve">1.3.2 </w:t>
      </w:r>
      <w:r>
        <w:rPr>
          <w:rFonts w:hint="eastAsia"/>
        </w:rPr>
        <w:t xml:space="preserve">全自旋概率二值计算架构</w:t>
      </w:r>
    </w:p>
    <w:p>
      <w:pPr>
        <w:pStyle w:val="FirstParagraph"/>
      </w:pPr>
      <w:r>
        <w:rPr>
          <w:rFonts w:hint="eastAsia"/>
        </w:rPr>
        <w:t xml:space="preserve">时域展开的可行性还取决于随机比特源的速度、能耗与工艺兼容性。本文所构建的架构把三项功能统一于同一MRAM工艺：sMTJ单元在写相位以亚临界脉冲完成受控伯努利采样，其翻转概率由写电压与脉冲宽度通过调制自由层磁化动力学而受控，写后磁化状态即当前样本并原位充当权重比特；读相位以位线电流求和完成XNOR-popcount；跨周期的样本累积由列端数字计数器承担。写-弛豫-读的相位时序在同一物理阵列上分时复用，其电路级瞬态验证见第四章。整个链路中存储、随机数生成与乘加均由自旋器件承担，CMOS负责DAC、读出比较器、计数器与控制时序，不再需要独立的TRNG/PRNG模块；1.1.1节所述占数字p-bit晶体管数约三分之二的伪随机数发生器开销在架构层面被移除，计入新增DAC与计数器后的净收益由第四章PPA分解核算。</w:t>
      </w:r>
    </w:p>
    <w:p>
      <w:pPr>
        <w:pStyle w:val="BodyText"/>
      </w:pPr>
      <w:r>
        <w:rPr>
          <w:rFonts w:hint="eastAsia"/>
        </w:rPr>
        <w:t xml:space="preserve">该设计的协同优势体现在三个层面。存储、采样、乘加三位一体消除了CMOS随机源与存算阵列之间的数据传输，每次采样所需的能量由随机位生成本身支配，而不由数据移动支配：在第二章标定工作点，器件级写耗约0.78</w:t>
      </w:r>
      <w:r>
        <w:t xml:space="preserve"> </w:t>
      </w:r>
      <w:r>
        <w:rPr>
          <w:rFonts w:hint="eastAsia"/>
        </w:rPr>
        <w:t xml:space="preserve">pJ/次，计入sky130写驱动后端到端约1.6</w:t>
      </w:r>
      <w:r>
        <w:t xml:space="preserve"> pJ </w:t>
      </w:r>
      <w:r>
        <w:rPr>
          <w:rFonts w:hint="eastAsia"/>
        </w:rPr>
        <w:t xml:space="preserve">(第四章)，仍低于CMOS</w:t>
      </w:r>
      <w:r>
        <w:t xml:space="preserve"> </w:t>
      </w:r>
      <w:r>
        <w:rPr>
          <w:rFonts w:hint="eastAsia"/>
        </w:rPr>
        <w:t xml:space="preserve">p-bit每次更新约5</w:t>
      </w:r>
      <w:r>
        <w:t xml:space="preserve"> </w:t>
      </w:r>
      <w:r>
        <w:rPr>
          <w:rFonts w:hint="eastAsia"/>
        </w:rPr>
        <w:t xml:space="preserve">pJ的代价</w:t>
      </w:r>
      <w:r>
        <w:rPr>
          <w:rStyle w:val="FootnoteReference"/>
        </w:rPr>
        <w:footnoteReference w:id="179"/>
      </w:r>
      <w:r>
        <w:rPr>
          <w:rFonts w:hint="eastAsia"/>
        </w:rPr>
        <w:t xml:space="preserve">。sMTJ的亚纳秒翻转使采样吞吐率与子阵列读出节拍自然对齐，避免了p-bit速率与阵列节拍失配所引入的采样冗余。</w:t>
      </w:r>
      <m:oMath>
        <m:sSub>
          <m:e>
            <m:r>
              <m:t>θ</m:t>
            </m:r>
          </m:e>
          <m:sub>
            <m:r>
              <m:t>i</m:t>
            </m:r>
            <m:r>
              <m:t>j</m:t>
            </m:r>
          </m:sub>
        </m:sSub>
      </m:oMath>
      <w:r>
        <w:rPr>
          <w:rFonts w:hint="eastAsia"/>
        </w:rPr>
        <w:t xml:space="preserve">的更新与推理共用同一MRAM写入通路：训练阶段梯度直接作用于外围数字寄存器，推理阶段通过同一DAC-写入驱动链路把</w:t>
      </w:r>
      <m:oMath>
        <m:sSub>
          <m:e>
            <m:r>
              <m:t>θ</m:t>
            </m:r>
          </m:e>
          <m:sub>
            <m:r>
              <m:t>i</m:t>
            </m:r>
            <m:r>
              <m:t>j</m:t>
            </m:r>
          </m:sub>
        </m:sSub>
      </m:oMath>
      <w:r>
        <w:rPr>
          <w:rFonts w:hint="eastAsia"/>
        </w:rPr>
        <w:t xml:space="preserve">重新加载为</w:t>
      </w:r>
      <m:oMath>
        <m:sSub>
          <m:e>
            <m:r>
              <m:t>V</m:t>
            </m:r>
          </m:e>
          <m:sub>
            <m:r>
              <m:rPr>
                <m:sty m:val="p"/>
              </m:rPr>
              <m:t>w</m:t>
            </m:r>
            <m:r>
              <m:rPr>
                <m:sty m:val="p"/>
              </m:rPr>
              <m:t>r</m:t>
            </m:r>
          </m:sub>
        </m:sSub>
      </m:oMath>
      <w:r>
        <w:rPr>
          <w:rFonts w:hint="eastAsia"/>
        </w:rPr>
        <w:t xml:space="preserve">，训练与推理在同一物理结构上自然共存；推理阶段的采样通路原生提供集成式不确定性输出，无需独立随机源与重复的权重加载，而确定性硬件获取同类估计须以重复前向为代价</w:t>
      </w:r>
      <w:r>
        <w:t xml:space="preserve"> </w:t>
      </w:r>
      <w:r>
        <w:rPr>
          <w:rFonts w:hint="eastAsia"/>
        </w:rPr>
        <w:t xml:space="preserve">(1.1.1节)。</w:t>
      </w:r>
    </w:p>
    <w:bookmarkEnd w:id="180"/>
    <w:bookmarkStart w:id="181" w:name="概率二值储备池计算时域动力学路径"/>
    <w:p>
      <w:pPr>
        <w:pStyle w:val="Heading3"/>
      </w:pPr>
      <w:r>
        <w:t xml:space="preserve">1.3.3 </w:t>
      </w:r>
      <w:r>
        <w:rPr>
          <w:rFonts w:hint="eastAsia"/>
        </w:rPr>
        <w:t xml:space="preserve">概率二值储备池计算：时域动力学路径</w:t>
      </w:r>
    </w:p>
    <w:p>
      <w:pPr>
        <w:pStyle w:val="FirstParagraph"/>
      </w:pPr>
      <w:r>
        <w:rPr>
          <w:rFonts w:hint="eastAsia"/>
        </w:rPr>
        <w:t xml:space="preserve">如1.1.2节所引出的，概率二值器件的随机性存在两种互补的利用方式，本文的第三项贡献正落在第二种之上。1.3.1节的时域展开范式与1.3.2节的全自旋架构都把器件当作受控伯努利源：无论是PSL的异步退火演化、PBNN的按层前馈，还是把概率精度从空间维度搬到时间维度的展开，都依赖各次采样在统计上彼此独立，时间维度仅用于累积独立样本、平均掉涨落。本节转入第二种利用方式，即不抹平相关，而是利用器件随机翻转的时间相关性：已校准的sMTJ不再每步重置、任其自由演化，它便从无记忆采样源变为有状态的随机电报节点，从而把任务域延伸至时序处理这一第三类任务。</w:t>
      </w:r>
    </w:p>
    <w:p>
      <w:pPr>
        <w:pStyle w:val="BodyText"/>
      </w:pPr>
      <w:r>
        <w:rPr>
          <w:rFonts w:hint="eastAsia"/>
        </w:rPr>
        <w:t xml:space="preserve">这一复用的物理基础，在于储备池计算对动力学节点的两项要求可由超顺磁器件物理直接满足：稳态平均磁化对偏置的</w:t>
      </w:r>
      <m:oMath>
        <m:r>
          <m:rPr>
            <m:sty m:val="p"/>
          </m:rPr>
          <m:t>tanh</m:t>
        </m:r>
      </m:oMath>
      <w:r>
        <w:rPr>
          <w:rFonts w:hint="eastAsia"/>
        </w:rPr>
        <w:t xml:space="preserve">型依赖提供非线性，磁矩在两态间的随机停留提供衰减记忆，且该停留时间随偏置电压指数可调；而1.2.4节指出的第三项条件——热涨落下的状态可重复性——正是第五章要以定量基准回答的问题。由此，储备池计算中代价最高的稠密递归，即数字回声状态网络需显式存储并每步计算的</w:t>
      </w:r>
      <m:oMath>
        <m:r>
          <m:t>N</m:t>
        </m:r>
        <m:r>
          <m:rPr>
            <m:sty m:val="p"/>
          </m:rPr>
          <m:t>×</m:t>
        </m:r>
        <m:r>
          <m:t>N</m:t>
        </m:r>
      </m:oMath>
      <w:r>
        <w:rPr>
          <w:rFonts w:hint="eastAsia"/>
        </w:rPr>
        <w:t xml:space="preserve">递归乘加，被器件层的物理弛豫所替代，记忆时间则由偏置电压这一硬件量直接整定，无需额外的记忆单元。把概率二值器件由瞬时随机源拓展为有状态的时域动力学节点，正是本节创新的核心。</w:t>
      </w:r>
    </w:p>
    <w:p>
      <w:pPr>
        <w:pStyle w:val="BodyText"/>
      </w:pPr>
      <w:r>
        <w:rPr>
          <w:rFonts w:hint="eastAsia"/>
        </w:rPr>
        <w:t xml:space="preserve">沿此思路，本文第五章在第二章器件模型之上把sMTJ用作有状态的随机电报节点，系统检验其时序计算能力</w:t>
      </w:r>
      <w:r>
        <w:t xml:space="preserve"> </w:t>
      </w:r>
      <w:r>
        <w:rPr>
          <w:rFonts w:hint="eastAsia"/>
        </w:rPr>
        <w:t xml:space="preserve">(记忆容量、NARMA与Mackey-Glass混沌预测等基准)、面向储备池的器件优化区间，以及相对数字回声状态网络的硬件能效，并界定其占优的任务区间</w:t>
      </w:r>
      <w:r>
        <w:t xml:space="preserve"> </w:t>
      </w:r>
      <w:r>
        <w:rPr>
          <w:rFonts w:hint="eastAsia"/>
        </w:rPr>
        <w:t xml:space="preserve">(能量预算受限、精度要求中等的时序处理，与1.1.1节所述边缘设备的部署约束相合)，从而把1.2.4节所指出的有状态动力学侧空白填补为可复现的定量结论。这一任务把可用的器件资源由前两项创新所依赖的瞬时随机性进一步延伸到时域动力学，与组合优化、机器学习推断共同构成同一硬件单元在不同调度下承担的三类任务。需要说明，储备池模式偏好比概率位写器件更低的势垒，两种模式在同一物理阵列上的统一以电压栅控、分时复用的受限架构提案形式在第五章界定。</w:t>
      </w:r>
    </w:p>
    <w:bookmarkEnd w:id="181"/>
    <w:bookmarkStart w:id="184" w:name="本文工作与章节组织"/>
    <w:p>
      <w:pPr>
        <w:pStyle w:val="Heading3"/>
      </w:pPr>
      <w:r>
        <w:t xml:space="preserve">1.3.4 </w:t>
      </w:r>
      <w:r>
        <w:rPr>
          <w:rFonts w:hint="eastAsia"/>
        </w:rPr>
        <w:t xml:space="preserve">本文工作与章节组织</w:t>
      </w:r>
    </w:p>
    <w:p>
      <w:pPr>
        <w:pStyle w:val="FirstParagraph"/>
      </w:pPr>
      <w:r>
        <w:rPr>
          <w:rFonts w:hint="eastAsia"/>
        </w:rPr>
        <w:t xml:space="preserve">前述范式、架构与任务三个层面的创新，由打通同一硬件单元多任务评估链路的四段工作承载。其一，建立三端SOT-sMTJ的紧凑物理模型与开源仿真平台，把器件端口电学、磁化动力学与统计翻转行为接成同一可调用接口，并以300</w:t>
      </w:r>
      <w:r>
        <w:t xml:space="preserve"> mm </w:t>
      </w:r>
      <w:r>
        <w:rPr>
          <w:rFonts w:hint="eastAsia"/>
        </w:rPr>
        <w:t xml:space="preserve">SOT-MRAM工艺平台的实测数据完成标定，使后续三类任务在器件层共享同一可信的物理基础。其二，将sMTJ作为伊辛自旋的物理实现接入组合优化求解链路，把Max-Cut、旅行商问题与整数分解统一归约为</w:t>
      </w:r>
      <m:oMath>
        <m:r>
          <m:rPr>
            <m:sty m:val="p"/>
          </m:rPr>
          <m:t>(</m:t>
        </m:r>
        <m:r>
          <m:t>J</m:t>
        </m:r>
        <m:r>
          <m:rPr>
            <m:sty m:val="p"/>
          </m:rPr>
          <m:t>,</m:t>
        </m:r>
        <m:r>
          <m:t>h</m:t>
        </m:r>
        <m:r>
          <m:rPr>
            <m:sty m:val="p"/>
          </m:rPr>
          <m:t>)</m:t>
        </m:r>
      </m:oMath>
      <w:r>
        <w:rPr>
          <w:rFonts w:hint="eastAsia"/>
        </w:rPr>
        <w:t xml:space="preserve">接口下的伊辛哈密顿量最小化，评估理想Gibbs动力学的求解能力、器件非理想性的灵敏度结构以及跨硬件平台的能耗与时间代价，回应1.2.4节所指的求解侧评估空白。其三，将同一硬件单元转作PBNN的伯努利权重单元，基于PyTorch搭建覆盖器件、阵列、网络、采样、PPA与实验六层的端到端仿真器，量化精度、鲁棒性与能耗在跨架构条件下的相对位置；并在开源sky130工艺上对读出与写入外围作晶体管级协同设计与提取验证，使写线IR压降、读出失调与转换能量以电路级提取仿真口径进入评估——1.1.1节所引的阵列规模约束由此在本文自己的工艺平台上得到印证</w:t>
      </w:r>
      <w:r>
        <w:t xml:space="preserve"> </w:t>
      </w:r>
      <w:r>
        <w:rPr>
          <w:rFonts w:hint="eastAsia"/>
        </w:rPr>
        <w:t xml:space="preserve">(256列写线往返压降约达写负载的16.5%)。其四，将同一器件用作概率二值储备池计算的随机动力学节点，利用其磁矩在两态间随机停留所形成的衰减记忆承担时序处理任务，给出面向储备池优化的器件参数指导与相对数字回声状态网络的硬件能效评估；这一任务把可用的器件资源由其二、其三两段所依赖的瞬时随机性进一步延伸到时域动力学。上述工作共享同一器件级Sigmoid接口</w:t>
      </w:r>
      <m:oMath>
        <m:r>
          <m:rPr>
            <m:sty m:val="p"/>
          </m:rPr>
          <m:t>(</m:t>
        </m:r>
        <m:sSub>
          <m:e>
            <m:r>
              <m:t>u</m:t>
            </m:r>
          </m:e>
          <m:sub>
            <m:r>
              <m:rPr>
                <m:sty m:val="p"/>
              </m:rPr>
              <m:t>t</m:t>
            </m:r>
            <m:r>
              <m:rPr>
                <m:sty m:val="p"/>
              </m:rPr>
              <m:t>h</m:t>
            </m:r>
          </m:sub>
        </m:sSub>
        <m:r>
          <m:rPr>
            <m:sty m:val="p"/>
          </m:rPr>
          <m:t>,</m:t>
        </m:r>
        <m:sSub>
          <m:e>
            <m:r>
              <m:t>β</m:t>
            </m:r>
          </m:e>
          <m:sub>
            <m:r>
              <m:t>s</m:t>
            </m:r>
          </m:sub>
        </m:sSub>
        <m:r>
          <m:rPr>
            <m:sty m:val="p"/>
          </m:rPr>
          <m:t>)</m:t>
        </m:r>
      </m:oMath>
      <w:r>
        <w:rPr>
          <w:rFonts w:hint="eastAsia"/>
        </w:rPr>
        <w:t xml:space="preserve">与同一仿真后端，由此把同一阵列在不同调度下承担组合优化、机器学习推断与时序处理三类任务这一系统价值落实到可复现的工具链上。现有eNVM-CIM评估框架</w:t>
      </w:r>
      <w:r>
        <w:t xml:space="preserve"> </w:t>
      </w:r>
      <w:r>
        <w:rPr>
          <w:rFonts w:hint="eastAsia"/>
        </w:rPr>
        <w:t xml:space="preserve">(如NeuroSim系列</w:t>
      </w:r>
      <w:r>
        <w:rPr>
          <w:rStyle w:val="FootnoteReference"/>
        </w:rPr>
        <w:footnoteReference w:id="182"/>
      </w:r>
      <w:r>
        <w:t xml:space="preserve">) </w:t>
      </w:r>
      <w:r>
        <w:rPr>
          <w:rFonts w:hint="eastAsia"/>
        </w:rPr>
        <w:t xml:space="preserve">难以满足该需求：这类框架以确定性多比特权重为核心信号、以ADC与缓冲为外围预算，对PBNN所依赖的Bernoulli采样语义、时域累积与sMTJ概率行为均无直接建模能力，因此本文不复用既有仿真后端，而以PyTorch自行搭建以匹配概率二值计算的语义。</w:t>
      </w:r>
    </w:p>
    <w:p>
      <w:pPr>
        <w:pStyle w:val="BodyText"/>
      </w:pPr>
      <w:r>
        <w:rPr>
          <w:rFonts w:hint="eastAsia"/>
        </w:rPr>
        <w:t xml:space="preserve">全文组织如下。第二章建立器件层物理基础，从T型电路、热激活翻转动力学、SOT与VCMA联合驱动到工作区Sigmoid近似四个层面贯通三端SOT-sMTJ的紧凑模型，开发开源仿真平台vgsot-sim并以300</w:t>
      </w:r>
      <w:r>
        <w:t xml:space="preserve"> </w:t>
      </w:r>
      <w:r>
        <w:rPr>
          <w:rFonts w:hint="eastAsia"/>
        </w:rPr>
        <w:t xml:space="preserve">mm工艺平台的单器件测试与PDK失配数据完成标定，所输出的Sigmoid接口与五参数行为模型作为后续各任务章共享的物理基础。第三章把sMTJ概率单元接入组合优化任务，构建以异步Gibbs采样与几何退火为内核的伊辛求解仿真框架，在Max-Cut、旅行商问题与整数分解三类基准上评估求解能力的边界与器件非理想性的影响，并将算法层成功概率投影至sMTJ阵列、CMOS</w:t>
      </w:r>
      <w:r>
        <w:t xml:space="preserve"> p-bit、FPGA </w:t>
      </w:r>
      <w:r>
        <w:rPr>
          <w:rFonts w:hint="eastAsia"/>
        </w:rPr>
        <w:t xml:space="preserve">SBM与CPU四类硬件平台作时间与能耗对比。第四章把同一硬件单元转用于机器学习推断，搭建端到端的sMTJ-PBNN硬件仿真器，通过CLT高斯化前向、三档共享检查点的设计在MNIST与UCI基准上完成训练精度、推理鲁棒性与能耗的系统评估，并在开源sky130工艺上完成读出与写入外围的晶体管级协同设计与提取验证，给出写线IR压降、灵敏放大器失调与转换能量的定量提取与仿真表征。第五章把同一器件用作储备池计算的随机动力学节点，在记忆容量、Mackey-Glass混沌预测等时序基准上检验其可计算性，并给出面向储备池的器件优化指导与相对数字回声状态网络的硬件能效评估。第六章对全文工作进行总结，并讨论后续在器件、电路与算法三个层面继续推进的方向。</w:t>
      </w:r>
    </w:p>
    <w:bookmarkEnd w:id="184"/>
    <w:bookmarkEnd w:id="185"/>
    <w:bookmarkStart w:id="186" w:name="参考文献"/>
    <w:p>
      <w:pPr>
        <w:pStyle w:val="Heading2"/>
      </w:pPr>
      <w:r>
        <w:rPr>
          <w:rFonts w:hint="eastAsia"/>
        </w:rPr>
        <w:t xml:space="preserve">参考文献</w:t>
      </w:r>
    </w:p>
    <w:bookmarkEnd w:id="186"/>
    <w:bookmarkEnd w:id="1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Gholami A, Yao Z, Kim S, Hooper C, Mahoney M W, Keutzer K. AI and memory wall.</w:t>
      </w:r>
      <w:r>
        <w:t xml:space="preserve"> </w:t>
      </w:r>
      <w:r>
        <w:rPr>
          <w:i/>
          <w:iCs/>
        </w:rPr>
        <w:t xml:space="preserve">IEEE Micro</w:t>
      </w:r>
      <w:r>
        <w:t xml:space="preserve">, 2024, 44(3): 33–39.</w:t>
      </w:r>
      <w:r>
        <w:t xml:space="preserve"> </w:t>
      </w:r>
      <w:hyperlink r:id="rId10">
        <w:r>
          <w:rPr>
            <w:rStyle w:val="Hyperlink"/>
          </w:rPr>
          <w:t xml:space="preserve">doi:10.1109/MM.2024.3373763</w:t>
        </w:r>
      </w:hyperlink>
    </w:p>
  </w:footnote>
  <w:footnote w:id="14">
    <w:p>
      <w:pPr>
        <w:pStyle w:val="FootnoteText"/>
      </w:pPr>
      <w:r>
        <w:rPr>
          <w:rStyle w:val="FootnoteReference"/>
        </w:rPr>
        <w:footnoteRef/>
      </w:r>
      <w:r>
        <w:t xml:space="preserve"> </w:t>
      </w:r>
      <w:r>
        <w:t xml:space="preserve">Horowitz M. Computing’s energy problem (and what we can do about it).</w:t>
      </w:r>
      <w:r>
        <w:t xml:space="preserve"> </w:t>
      </w:r>
      <w:r>
        <w:rPr>
          <w:i/>
          <w:iCs/>
        </w:rPr>
        <w:t xml:space="preserve">Proc. IEEE International Solid-State Circuits Conference (ISSCC)</w:t>
      </w:r>
      <w:r>
        <w:t xml:space="preserve">, 2014: 10–14.</w:t>
      </w:r>
      <w:r>
        <w:t xml:space="preserve"> </w:t>
      </w:r>
      <w:hyperlink r:id="rId15">
        <w:r>
          <w:rPr>
            <w:rStyle w:val="Hyperlink"/>
          </w:rPr>
          <w:t xml:space="preserve">doi:10.1109/ISSCC.2014.6757323</w:t>
        </w:r>
      </w:hyperlink>
    </w:p>
  </w:footnote>
  <w:footnote w:id="16">
    <w:p>
      <w:pPr>
        <w:pStyle w:val="FootnoteText"/>
      </w:pPr>
      <w:r>
        <w:rPr>
          <w:rStyle w:val="FootnoteReference"/>
        </w:rPr>
        <w:footnoteRef/>
      </w:r>
      <w:r>
        <w:t xml:space="preserve"> </w:t>
      </w:r>
      <w:r>
        <w:t xml:space="preserve">Sze V, Chen Y H, Yang T J, Emer J S.</w:t>
      </w:r>
      <w:r>
        <w:t xml:space="preserve"> </w:t>
      </w:r>
      <w:r>
        <w:rPr>
          <w:i/>
          <w:iCs/>
        </w:rPr>
        <w:t xml:space="preserve">Efficient Processing of Deep Neural Networks</w:t>
      </w:r>
      <w:r>
        <w:t xml:space="preserve">. Morgan &amp; Claypool Synthesis Lectures on Computer Architecture, 2020.</w:t>
      </w:r>
      <w:r>
        <w:t xml:space="preserve"> </w:t>
      </w:r>
      <w:hyperlink r:id="rId17">
        <w:r>
          <w:rPr>
            <w:rStyle w:val="Hyperlink"/>
          </w:rPr>
          <w:t xml:space="preserve">doi:10.2200/S01004ED1V01Y202004CAC050</w:t>
        </w:r>
      </w:hyperlink>
    </w:p>
  </w:footnote>
  <w:footnote w:id="18">
    <w:p>
      <w:pPr>
        <w:pStyle w:val="FootnoteText"/>
      </w:pPr>
      <w:r>
        <w:rPr>
          <w:rStyle w:val="FootnoteReference"/>
        </w:rPr>
        <w:footnoteRef/>
      </w:r>
      <w:r>
        <w:t xml:space="preserve"> </w:t>
      </w:r>
      <w:r>
        <w:t xml:space="preserve">Krestinskaya O, Zhang L, Salama K N. Towards efficient in-memory computing hardware for quantized neural networks: State-of-the-art, open challenges and perspectives.</w:t>
      </w:r>
      <w:r>
        <w:t xml:space="preserve"> </w:t>
      </w:r>
      <w:r>
        <w:rPr>
          <w:i/>
          <w:iCs/>
        </w:rPr>
        <w:t xml:space="preserve">IEEE Transactions on Nanotechnology</w:t>
      </w:r>
      <w:r>
        <w:t xml:space="preserve">, 2023, 22: 377–386.</w:t>
      </w:r>
      <w:r>
        <w:t xml:space="preserve"> </w:t>
      </w:r>
      <w:hyperlink r:id="rId19">
        <w:r>
          <w:rPr>
            <w:rStyle w:val="Hyperlink"/>
          </w:rPr>
          <w:t xml:space="preserve">doi:10.1109/TNANO.2023.3293026</w:t>
        </w:r>
      </w:hyperlink>
    </w:p>
  </w:footnote>
  <w:footnote w:id="20">
    <w:p>
      <w:pPr>
        <w:pStyle w:val="FootnoteText"/>
      </w:pPr>
      <w:r>
        <w:rPr>
          <w:rStyle w:val="FootnoteReference"/>
        </w:rPr>
        <w:footnoteRef/>
      </w:r>
      <w:r>
        <w:t xml:space="preserve"> </w:t>
      </w:r>
      <w:r>
        <w:t xml:space="preserve">Wan W, Kubendran R, Schaefer C, Eryilmaz S B, Zhang W, Wu D, Deiss S, Raina P, Qian H, Gao B, Joshi S, Wu H, Wong H-S P, Cauwenberghs G. A compute-in-memory chip based on resistive random-access memory.</w:t>
      </w:r>
      <w:r>
        <w:t xml:space="preserve"> </w:t>
      </w:r>
      <w:r>
        <w:rPr>
          <w:i/>
          <w:iCs/>
        </w:rPr>
        <w:t xml:space="preserve">Nature</w:t>
      </w:r>
      <w:r>
        <w:t xml:space="preserve">, 2022, 608(7923): 504–512.</w:t>
      </w:r>
      <w:r>
        <w:t xml:space="preserve"> </w:t>
      </w:r>
      <w:hyperlink r:id="rId21">
        <w:r>
          <w:rPr>
            <w:rStyle w:val="Hyperlink"/>
          </w:rPr>
          <w:t xml:space="preserve">doi:10.1038/s41586-022-04992-8</w:t>
        </w:r>
      </w:hyperlink>
    </w:p>
  </w:footnote>
  <w:footnote w:id="22">
    <w:p>
      <w:pPr>
        <w:pStyle w:val="FootnoteText"/>
      </w:pPr>
      <w:r>
        <w:rPr>
          <w:rStyle w:val="FootnoteReference"/>
        </w:rPr>
        <w:footnoteRef/>
      </w:r>
      <w:r>
        <w:t xml:space="preserve"> </w:t>
      </w:r>
      <w:r>
        <w:t xml:space="preserve">Lepri N, Baldo M, Mannocci P, Glukhov A, Milo V, Ielmini D. Modeling and compensation of IR drop in crosspoint accelerators of neural networks.</w:t>
      </w:r>
      <w:r>
        <w:t xml:space="preserve"> </w:t>
      </w:r>
      <w:r>
        <w:rPr>
          <w:i/>
          <w:iCs/>
        </w:rPr>
        <w:t xml:space="preserve">IEEE Transactions on Electron Devices</w:t>
      </w:r>
      <w:r>
        <w:t xml:space="preserve">, 2022, 69(3): 1575–1581.</w:t>
      </w:r>
      <w:r>
        <w:t xml:space="preserve"> </w:t>
      </w:r>
      <w:hyperlink r:id="rId23">
        <w:r>
          <w:rPr>
            <w:rStyle w:val="Hyperlink"/>
          </w:rPr>
          <w:t xml:space="preserve">doi:10.1109/TED.2022.3141987</w:t>
        </w:r>
      </w:hyperlink>
    </w:p>
  </w:footnote>
  <w:footnote w:id="24">
    <w:p>
      <w:pPr>
        <w:pStyle w:val="FootnoteText"/>
      </w:pPr>
      <w:r>
        <w:rPr>
          <w:rStyle w:val="FootnoteReference"/>
        </w:rPr>
        <w:footnoteRef/>
      </w:r>
      <w:r>
        <w:t xml:space="preserve"> </w:t>
      </w:r>
      <w:r>
        <w:t xml:space="preserve">Crafton B, Talley C, Spetalnick S, Yoon J H, Raychowdhury A. Characterization and mitigation of IR-drop in RRAM-based compute in-memory.</w:t>
      </w:r>
      <w:r>
        <w:t xml:space="preserve"> </w:t>
      </w:r>
      <w:r>
        <w:rPr>
          <w:i/>
          <w:iCs/>
        </w:rPr>
        <w:t xml:space="preserve">Proc. IEEE International Symposium on Circuits and Systems (ISCAS)</w:t>
      </w:r>
      <w:r>
        <w:t xml:space="preserve">, 2022: 70–74.</w:t>
      </w:r>
      <w:r>
        <w:t xml:space="preserve"> </w:t>
      </w:r>
      <w:hyperlink r:id="rId25">
        <w:r>
          <w:rPr>
            <w:rStyle w:val="Hyperlink"/>
          </w:rPr>
          <w:t xml:space="preserve">doi:10.1109/ISCAS48785.2022.9937307</w:t>
        </w:r>
      </w:hyperlink>
    </w:p>
  </w:footnote>
  <w:footnote w:id="26">
    <w:p>
      <w:pPr>
        <w:pStyle w:val="FootnoteText"/>
      </w:pPr>
      <w:r>
        <w:rPr>
          <w:rStyle w:val="FootnoteReference"/>
        </w:rPr>
        <w:footnoteRef/>
      </w:r>
      <w:r>
        <w:t xml:space="preserve"> </w:t>
      </w:r>
      <w:r>
        <w:t xml:space="preserve">Bhardwaj K, Hur R W, Khan A I. Toward capacitive in-memory-computing: A device-to-systems level perspective on the future of artificial intelligence hardware.</w:t>
      </w:r>
      <w:r>
        <w:t xml:space="preserve"> </w:t>
      </w:r>
      <w:r>
        <w:rPr>
          <w:i/>
          <w:iCs/>
        </w:rPr>
        <w:t xml:space="preserve">Advanced Intelligent Discovery</w:t>
      </w:r>
      <w:r>
        <w:t xml:space="preserve">, 2025.</w:t>
      </w:r>
      <w:r>
        <w:t xml:space="preserve"> </w:t>
      </w:r>
      <w:hyperlink r:id="rId27">
        <w:r>
          <w:rPr>
            <w:rStyle w:val="Hyperlink"/>
          </w:rPr>
          <w:t xml:space="preserve">doi:10.1002/aidi.202500143</w:t>
        </w:r>
      </w:hyperlink>
    </w:p>
  </w:footnote>
  <w:footnote w:id="28">
    <w:p>
      <w:pPr>
        <w:pStyle w:val="FootnoteText"/>
      </w:pPr>
      <w:r>
        <w:rPr>
          <w:rStyle w:val="FootnoteReference"/>
        </w:rPr>
        <w:footnoteRef/>
      </w:r>
      <w:r>
        <w:t xml:space="preserve"> </w:t>
      </w:r>
      <w:r>
        <w:t xml:space="preserve">Stapper C H, Armstrong F M, Saji K. Integrated circuit yield statistics.</w:t>
      </w:r>
      <w:r>
        <w:t xml:space="preserve"> </w:t>
      </w:r>
      <w:r>
        <w:rPr>
          <w:i/>
          <w:iCs/>
        </w:rPr>
        <w:t xml:space="preserve">Proceedings of the IEEE</w:t>
      </w:r>
      <w:r>
        <w:t xml:space="preserve">, 1983, 71(4): 453–470.</w:t>
      </w:r>
      <w:r>
        <w:t xml:space="preserve"> </w:t>
      </w:r>
      <w:hyperlink r:id="rId29">
        <w:r>
          <w:rPr>
            <w:rStyle w:val="Hyperlink"/>
          </w:rPr>
          <w:t xml:space="preserve">doi:10.1109/PROC.1983.12619</w:t>
        </w:r>
      </w:hyperlink>
    </w:p>
  </w:footnote>
  <w:footnote w:id="30">
    <w:p>
      <w:pPr>
        <w:pStyle w:val="FootnoteText"/>
      </w:pPr>
      <w:r>
        <w:rPr>
          <w:rStyle w:val="FootnoteReference"/>
        </w:rPr>
        <w:footnoteRef/>
      </w:r>
      <w:r>
        <w:t xml:space="preserve"> </w:t>
      </w:r>
      <w:r>
        <w:t xml:space="preserve">Lee K, et al. 1Gbit high density embedded STT-MRAM in 28nm FDSOI technology.</w:t>
      </w:r>
      <w:r>
        <w:t xml:space="preserve"> </w:t>
      </w:r>
      <w:r>
        <w:rPr>
          <w:i/>
          <w:iCs/>
        </w:rPr>
        <w:t xml:space="preserve">Proc. IEEE International Electron Devices Meeting (IEDM)</w:t>
      </w:r>
      <w:r>
        <w:t xml:space="preserve">, 2019.</w:t>
      </w:r>
      <w:r>
        <w:t xml:space="preserve"> </w:t>
      </w:r>
      <w:hyperlink r:id="rId31">
        <w:r>
          <w:rPr>
            <w:rStyle w:val="Hyperlink"/>
          </w:rPr>
          <w:t xml:space="preserve">doi:10.1109/IEDM19573.2019.8993551</w:t>
        </w:r>
      </w:hyperlink>
    </w:p>
  </w:footnote>
  <w:footnote w:id="32">
    <w:p>
      <w:pPr>
        <w:pStyle w:val="FootnoteText"/>
      </w:pPr>
      <w:r>
        <w:rPr>
          <w:rStyle w:val="FootnoteReference"/>
        </w:rPr>
        <w:footnoteRef/>
      </w:r>
      <w:r>
        <w:t xml:space="preserve"> </w:t>
      </w:r>
      <w:r>
        <w:t xml:space="preserve">de Lima J P C, Khan A A, Carro L, Castrillon J. Full-stack optimization for CAM-only DNN inference.</w:t>
      </w:r>
      <w:r>
        <w:t xml:space="preserve"> </w:t>
      </w:r>
      <w:r>
        <w:rPr>
          <w:i/>
          <w:iCs/>
        </w:rPr>
        <w:t xml:space="preserve">Proc. Design, Automation &amp; Test in Europe Conference (DATE)</w:t>
      </w:r>
      <w:r>
        <w:t xml:space="preserve">, 2024.</w:t>
      </w:r>
      <w:r>
        <w:t xml:space="preserve"> </w:t>
      </w:r>
      <w:hyperlink r:id="rId33">
        <w:r>
          <w:rPr>
            <w:rStyle w:val="Hyperlink"/>
          </w:rPr>
          <w:t xml:space="preserve">doi:10.23919/DATE58400.2024.10546805</w:t>
        </w:r>
      </w:hyperlink>
    </w:p>
  </w:footnote>
  <w:footnote w:id="34">
    <w:p>
      <w:pPr>
        <w:pStyle w:val="FootnoteText"/>
      </w:pPr>
      <w:r>
        <w:rPr>
          <w:rStyle w:val="FootnoteReference"/>
        </w:rPr>
        <w:footnoteRef/>
      </w:r>
      <w:r>
        <w:t xml:space="preserve"> </w:t>
      </w:r>
      <w:r>
        <w:t xml:space="preserve">Shafiee A, Nag A, Muralimanohar N, Balasubramonian R, Strachan J P, Hu M, Williams R S, Srikumar V. ISAAC: A convolutional neural network accelerator with in-situ analog arithmetic in crossbars.</w:t>
      </w:r>
      <w:r>
        <w:t xml:space="preserve"> </w:t>
      </w:r>
      <w:r>
        <w:rPr>
          <w:i/>
          <w:iCs/>
        </w:rPr>
        <w:t xml:space="preserve">Proc. 43rd ACM/IEEE International Symposium on Computer Architecture (ISCA)</w:t>
      </w:r>
      <w:r>
        <w:t xml:space="preserve">, 2016: 14–26.</w:t>
      </w:r>
      <w:r>
        <w:t xml:space="preserve"> </w:t>
      </w:r>
      <w:hyperlink r:id="rId35">
        <w:r>
          <w:rPr>
            <w:rStyle w:val="Hyperlink"/>
          </w:rPr>
          <w:t xml:space="preserve">doi:10.1109/ISCA.2016.12</w:t>
        </w:r>
      </w:hyperlink>
    </w:p>
  </w:footnote>
  <w:footnote w:id="36">
    <w:p>
      <w:pPr>
        <w:pStyle w:val="FootnoteText"/>
      </w:pPr>
      <w:r>
        <w:rPr>
          <w:rStyle w:val="FootnoteReference"/>
        </w:rPr>
        <w:footnoteRef/>
      </w:r>
      <w:r>
        <w:t xml:space="preserve"> </w:t>
      </w:r>
      <w:r>
        <w:t xml:space="preserve">Negi S, Saxena U, Sharma D, Roy K. HCiM: ADC-less hybrid analog-digital compute in memory accelerator for deep learning workloads.</w:t>
      </w:r>
      <w:r>
        <w:t xml:space="preserve"> </w:t>
      </w:r>
      <w:r>
        <w:rPr>
          <w:i/>
          <w:iCs/>
        </w:rPr>
        <w:t xml:space="preserve">Proc. 30th Asia and South Pacific Design Automation Conference (ASP-DAC)</w:t>
      </w:r>
      <w:r>
        <w:t xml:space="preserve">, 2025.</w:t>
      </w:r>
      <w:r>
        <w:t xml:space="preserve"> </w:t>
      </w:r>
      <w:hyperlink r:id="rId37">
        <w:r>
          <w:rPr>
            <w:rStyle w:val="Hyperlink"/>
          </w:rPr>
          <w:t xml:space="preserve">doi:10.1145/3658617.3697572</w:t>
        </w:r>
      </w:hyperlink>
    </w:p>
  </w:footnote>
  <w:footnote w:id="38">
    <w:p>
      <w:pPr>
        <w:pStyle w:val="FootnoteText"/>
      </w:pPr>
      <w:r>
        <w:rPr>
          <w:rStyle w:val="FootnoteReference"/>
        </w:rPr>
        <w:footnoteRef/>
      </w:r>
      <w:r>
        <w:t xml:space="preserve"> </w:t>
      </w:r>
      <w:r>
        <w:t xml:space="preserve">Banbury C R, Reddi V J, Lam M, Fu W, et al. Benchmarking TinyML systems: Challenges and direction.</w:t>
      </w:r>
      <w:r>
        <w:t xml:space="preserve"> </w:t>
      </w:r>
      <w:hyperlink r:id="rId39">
        <w:r>
          <w:rPr>
            <w:rStyle w:val="Hyperlink"/>
          </w:rPr>
          <w:t xml:space="preserve">arXiv:2003.04821</w:t>
        </w:r>
      </w:hyperlink>
      <w:r>
        <w:t xml:space="preserve">, 2020.</w:t>
      </w:r>
    </w:p>
  </w:footnote>
  <w:footnote w:id="40">
    <w:p>
      <w:pPr>
        <w:pStyle w:val="FootnoteText"/>
      </w:pPr>
      <w:r>
        <w:rPr>
          <w:rStyle w:val="FootnoteReference"/>
        </w:rPr>
        <w:footnoteRef/>
      </w:r>
      <w:r>
        <w:t xml:space="preserve"> </w:t>
      </w:r>
      <w:r>
        <w:t xml:space="preserve">Lin J, Chen W M, Lin Y, Cohn J, Gan C, Han S. MCUNet: Tiny deep learning on IoT devices.</w:t>
      </w:r>
      <w:r>
        <w:t xml:space="preserve"> </w:t>
      </w:r>
      <w:r>
        <w:rPr>
          <w:i/>
          <w:iCs/>
        </w:rPr>
        <w:t xml:space="preserve">Proc. Advances in Neural Information Processing Systems (NeurIPS)</w:t>
      </w:r>
      <w:r>
        <w:t xml:space="preserve">, 2020.</w:t>
      </w:r>
      <w:r>
        <w:t xml:space="preserve"> </w:t>
      </w:r>
      <w:hyperlink r:id="rId41">
        <w:r>
          <w:rPr>
            <w:rStyle w:val="Hyperlink"/>
          </w:rPr>
          <w:t xml:space="preserve">arXiv:2007.10319</w:t>
        </w:r>
      </w:hyperlink>
    </w:p>
  </w:footnote>
  <w:footnote w:id="42">
    <w:p>
      <w:pPr>
        <w:pStyle w:val="FootnoteText"/>
      </w:pPr>
      <w:r>
        <w:rPr>
          <w:rStyle w:val="FootnoteReference"/>
        </w:rPr>
        <w:footnoteRef/>
      </w:r>
      <w:r>
        <w:t xml:space="preserve"> </w:t>
      </w:r>
      <w:r>
        <w:t xml:space="preserve">Ahmed S T, Hefenbrock M, Tahoori M B. Tiny deep ensemble: Uncertainty estimation in edge AI accelerators via ensembling normalization layers with shared weights.</w:t>
      </w:r>
      <w:r>
        <w:t xml:space="preserve"> </w:t>
      </w:r>
      <w:hyperlink r:id="rId43">
        <w:r>
          <w:rPr>
            <w:rStyle w:val="Hyperlink"/>
          </w:rPr>
          <w:t xml:space="preserve">arXiv:2405.05286</w:t>
        </w:r>
      </w:hyperlink>
      <w:r>
        <w:t xml:space="preserve">, 2024.</w:t>
      </w:r>
    </w:p>
  </w:footnote>
  <w:footnote w:id="44">
    <w:p>
      <w:pPr>
        <w:pStyle w:val="FootnoteText"/>
      </w:pPr>
      <w:r>
        <w:rPr>
          <w:rStyle w:val="FootnoteReference"/>
        </w:rPr>
        <w:footnoteRef/>
      </w:r>
      <w:r>
        <w:t xml:space="preserve"> </w:t>
      </w:r>
      <w:r>
        <w:t xml:space="preserve">Bonnet D, Hirtzlin T, Majumdar A, Dalgaty T, et al. Bringing uncertainty quantification to the extreme-edge with memristor-based Bayesian neural networks.</w:t>
      </w:r>
      <w:r>
        <w:t xml:space="preserve"> </w:t>
      </w:r>
      <w:r>
        <w:rPr>
          <w:i/>
          <w:iCs/>
        </w:rPr>
        <w:t xml:space="preserve">Nature Communications</w:t>
      </w:r>
      <w:r>
        <w:t xml:space="preserve">, 2023, 14: 7530.</w:t>
      </w:r>
      <w:r>
        <w:t xml:space="preserve"> </w:t>
      </w:r>
      <w:hyperlink r:id="rId45">
        <w:r>
          <w:rPr>
            <w:rStyle w:val="Hyperlink"/>
          </w:rPr>
          <w:t xml:space="preserve">doi:10.1038/s41467-023-43317-9</w:t>
        </w:r>
      </w:hyperlink>
    </w:p>
  </w:footnote>
  <w:footnote w:id="46">
    <w:p>
      <w:pPr>
        <w:pStyle w:val="FootnoteText"/>
      </w:pPr>
      <w:r>
        <w:rPr>
          <w:rStyle w:val="FootnoteReference"/>
        </w:rPr>
        <w:footnoteRef/>
      </w:r>
      <w:r>
        <w:t xml:space="preserve"> </w:t>
      </w:r>
      <w:r>
        <w:t xml:space="preserve">Zink B R, Lv Y, Wang J P. Review of magnetic tunnel junctions for stochastic computing.</w:t>
      </w:r>
      <w:r>
        <w:t xml:space="preserve"> </w:t>
      </w:r>
      <w:r>
        <w:rPr>
          <w:i/>
          <w:iCs/>
        </w:rPr>
        <w:t xml:space="preserve">IEEE Journal on Exploratory Solid-State Computational Devices and Circuits</w:t>
      </w:r>
      <w:r>
        <w:t xml:space="preserve">, 2022, 8(2): 173–184.</w:t>
      </w:r>
      <w:r>
        <w:t xml:space="preserve"> </w:t>
      </w:r>
      <w:hyperlink r:id="rId47">
        <w:r>
          <w:rPr>
            <w:rStyle w:val="Hyperlink"/>
          </w:rPr>
          <w:t xml:space="preserve">doi:10.1109/JXCDC.2022.3227062</w:t>
        </w:r>
      </w:hyperlink>
    </w:p>
  </w:footnote>
  <w:footnote w:id="48">
    <w:p>
      <w:pPr>
        <w:pStyle w:val="FootnoteText"/>
      </w:pPr>
      <w:r>
        <w:rPr>
          <w:rStyle w:val="FootnoteReference"/>
        </w:rPr>
        <w:footnoteRef/>
      </w:r>
      <w:r>
        <w:t xml:space="preserve"> </w:t>
      </w:r>
      <w:r>
        <w:t xml:space="preserve">Qian W, Li X, Riedel M D, Bazargan K, Lilja D J. An architecture for fault-tolerant computation with stochastic logic.</w:t>
      </w:r>
      <w:r>
        <w:t xml:space="preserve"> </w:t>
      </w:r>
      <w:r>
        <w:rPr>
          <w:i/>
          <w:iCs/>
        </w:rPr>
        <w:t xml:space="preserve">IEEE Transactions on Computers</w:t>
      </w:r>
      <w:r>
        <w:t xml:space="preserve">, 2011, 60(1): 93–105.</w:t>
      </w:r>
      <w:r>
        <w:t xml:space="preserve"> </w:t>
      </w:r>
      <w:hyperlink r:id="rId49">
        <w:r>
          <w:rPr>
            <w:rStyle w:val="Hyperlink"/>
          </w:rPr>
          <w:t xml:space="preserve">doi:10.1109/TC.2010.202</w:t>
        </w:r>
      </w:hyperlink>
    </w:p>
  </w:footnote>
  <w:footnote w:id="50">
    <w:p>
      <w:pPr>
        <w:pStyle w:val="FootnoteText"/>
      </w:pPr>
      <w:r>
        <w:rPr>
          <w:rStyle w:val="FootnoteReference"/>
        </w:rPr>
        <w:footnoteRef/>
      </w:r>
      <w:r>
        <w:t xml:space="preserve"> </w:t>
      </w:r>
      <w:r>
        <w:t xml:space="preserve">Singh N S, Kobayashi K, Cao Q, Selcuk K, Hu T, Niazi S, Aadit N A, Kanai S, Ohno H, Fukami S, Camsari K Y. CMOS plus stochastic nanomagnets enabling heterogeneous computers for probabilistic inference and learning.</w:t>
      </w:r>
      <w:r>
        <w:t xml:space="preserve"> </w:t>
      </w:r>
      <w:r>
        <w:rPr>
          <w:i/>
          <w:iCs/>
        </w:rPr>
        <w:t xml:space="preserve">Nature Communications</w:t>
      </w:r>
      <w:r>
        <w:t xml:space="preserve">, 2024, 15: 2685.</w:t>
      </w:r>
      <w:r>
        <w:t xml:space="preserve"> </w:t>
      </w:r>
      <w:hyperlink r:id="rId51">
        <w:r>
          <w:rPr>
            <w:rStyle w:val="Hyperlink"/>
          </w:rPr>
          <w:t xml:space="preserve">doi:10.1038/s41467-024-46645-6</w:t>
        </w:r>
      </w:hyperlink>
    </w:p>
  </w:footnote>
  <w:footnote w:id="53">
    <w:p>
      <w:pPr>
        <w:pStyle w:val="FootnoteText"/>
      </w:pPr>
      <w:r>
        <w:rPr>
          <w:rStyle w:val="FootnoteReference"/>
        </w:rPr>
        <w:footnoteRef/>
      </w:r>
      <w:r>
        <w:t xml:space="preserve"> </w:t>
      </w:r>
      <w:r>
        <w:t xml:space="preserve">von Neumann J. Probabilistic logics and the synthesis of reliable organisms from unreliable components. In: Shannon C E, McCarthy J, eds. </w:t>
      </w:r>
      <w:r>
        <w:rPr>
          <w:i/>
          <w:iCs/>
        </w:rPr>
        <w:t xml:space="preserve">Automata Studies (Annals of Mathematics Studies, No. 34)</w:t>
      </w:r>
      <w:r>
        <w:t xml:space="preserve">. Princeton: Princeton University Press, 1956: 43–98.</w:t>
      </w:r>
    </w:p>
  </w:footnote>
  <w:footnote w:id="54">
    <w:p>
      <w:pPr>
        <w:pStyle w:val="FootnoteText"/>
      </w:pPr>
      <w:r>
        <w:rPr>
          <w:rStyle w:val="FootnoteReference"/>
        </w:rPr>
        <w:footnoteRef/>
      </w:r>
      <w:r>
        <w:t xml:space="preserve"> </w:t>
      </w:r>
      <w:r>
        <w:t xml:space="preserve">Alaghi A, Hayes J P. Survey of stochastic computing.</w:t>
      </w:r>
      <w:r>
        <w:t xml:space="preserve"> </w:t>
      </w:r>
      <w:r>
        <w:rPr>
          <w:i/>
          <w:iCs/>
        </w:rPr>
        <w:t xml:space="preserve">ACM Transactions on Embedded Computing Systems</w:t>
      </w:r>
      <w:r>
        <w:t xml:space="preserve">, 2013, 12(2s): 92:1–92:19.</w:t>
      </w:r>
      <w:r>
        <w:t xml:space="preserve"> </w:t>
      </w:r>
      <w:hyperlink r:id="rId55">
        <w:r>
          <w:rPr>
            <w:rStyle w:val="Hyperlink"/>
          </w:rPr>
          <w:t xml:space="preserve">doi:10.1145/2465787.2465794</w:t>
        </w:r>
      </w:hyperlink>
    </w:p>
  </w:footnote>
  <w:footnote w:id="56">
    <w:p>
      <w:pPr>
        <w:pStyle w:val="FootnoteText"/>
      </w:pPr>
      <w:r>
        <w:rPr>
          <w:rStyle w:val="FootnoteReference"/>
        </w:rPr>
        <w:footnoteRef/>
      </w:r>
      <w:r>
        <w:t xml:space="preserve"> </w:t>
      </w:r>
      <w:r>
        <w:t xml:space="preserve">Chowdhury S, Grimaldi A, Aadit N A, Niazi S, Mohseni M, Kanai S, Ohno H, Fukami S, Theogarajan L, Finocchio G, Datta S, Camsari K Y. A full-stack view of probabilistic computing with p-bits: Devices, architectures and algorithms.</w:t>
      </w:r>
      <w:r>
        <w:t xml:space="preserve"> </w:t>
      </w:r>
      <w:r>
        <w:rPr>
          <w:i/>
          <w:iCs/>
        </w:rPr>
        <w:t xml:space="preserve">IEEE Journal on Exploratory Solid-State Computational Devices and Circuits</w:t>
      </w:r>
      <w:r>
        <w:t xml:space="preserve">, 2023, 9(1): 1–11.</w:t>
      </w:r>
      <w:r>
        <w:t xml:space="preserve"> </w:t>
      </w:r>
      <w:hyperlink r:id="rId57">
        <w:r>
          <w:rPr>
            <w:rStyle w:val="Hyperlink"/>
          </w:rPr>
          <w:t xml:space="preserve">doi:10.1109/JXCDC.2023.3256981</w:t>
        </w:r>
      </w:hyperlink>
    </w:p>
  </w:footnote>
  <w:footnote w:id="58">
    <w:p>
      <w:pPr>
        <w:pStyle w:val="FootnoteText"/>
      </w:pPr>
      <w:r>
        <w:rPr>
          <w:rStyle w:val="FootnoteReference"/>
        </w:rPr>
        <w:footnoteRef/>
      </w:r>
      <w:r>
        <w:t xml:space="preserve"> </w:t>
      </w:r>
      <w:r>
        <w:t xml:space="preserve">Camsari K Y, Salahuddin S, Datta S. Implementing p-bit with embedded MTJ.</w:t>
      </w:r>
      <w:r>
        <w:t xml:space="preserve"> </w:t>
      </w:r>
      <w:r>
        <w:rPr>
          <w:i/>
          <w:iCs/>
        </w:rPr>
        <w:t xml:space="preserve">IEEE Electron Device Letters</w:t>
      </w:r>
      <w:r>
        <w:t xml:space="preserve">, 2017, 38(12): 1767–1770.</w:t>
      </w:r>
      <w:r>
        <w:t xml:space="preserve"> </w:t>
      </w:r>
      <w:hyperlink r:id="rId59">
        <w:r>
          <w:rPr>
            <w:rStyle w:val="Hyperlink"/>
          </w:rPr>
          <w:t xml:space="preserve">doi:10.1109/LED.2017.2768321</w:t>
        </w:r>
      </w:hyperlink>
    </w:p>
  </w:footnote>
  <w:footnote w:id="60">
    <w:p>
      <w:pPr>
        <w:pStyle w:val="FootnoteText"/>
      </w:pPr>
      <w:r>
        <w:rPr>
          <w:rStyle w:val="FootnoteReference"/>
        </w:rPr>
        <w:footnoteRef/>
      </w:r>
      <w:r>
        <w:t xml:space="preserve"> </w:t>
      </w:r>
      <w:r>
        <w:t xml:space="preserve">Manohar R. Comparing stochastic and deterministic computing.</w:t>
      </w:r>
      <w:r>
        <w:t xml:space="preserve"> </w:t>
      </w:r>
      <w:r>
        <w:rPr>
          <w:i/>
          <w:iCs/>
        </w:rPr>
        <w:t xml:space="preserve">IEEE Computer Architecture Letters</w:t>
      </w:r>
      <w:r>
        <w:t xml:space="preserve">, 2015, 14(2).</w:t>
      </w:r>
      <w:r>
        <w:t xml:space="preserve"> </w:t>
      </w:r>
      <w:hyperlink r:id="rId61">
        <w:r>
          <w:rPr>
            <w:rStyle w:val="Hyperlink"/>
          </w:rPr>
          <w:t xml:space="preserve">doi:10.1109/LCA.2015.2412553</w:t>
        </w:r>
      </w:hyperlink>
    </w:p>
  </w:footnote>
  <w:footnote w:id="62">
    <w:p>
      <w:pPr>
        <w:pStyle w:val="FootnoteText"/>
      </w:pPr>
      <w:r>
        <w:rPr>
          <w:rStyle w:val="FootnoteReference"/>
        </w:rPr>
        <w:footnoteRef/>
      </w:r>
      <w:r>
        <w:t xml:space="preserve"> </w:t>
      </w:r>
      <w:r>
        <w:t xml:space="preserve">Alaghi A, Qian W, Hayes J P. The promise and challenge of stochastic computing.</w:t>
      </w:r>
      <w:r>
        <w:t xml:space="preserve"> </w:t>
      </w:r>
      <w:r>
        <w:rPr>
          <w:i/>
          <w:iCs/>
        </w:rPr>
        <w:t xml:space="preserve">IEEE Transactions on Computer-Aided Design of Integrated Circuits and Systems</w:t>
      </w:r>
      <w:r>
        <w:t xml:space="preserve">, 2018, 37(8).</w:t>
      </w:r>
      <w:r>
        <w:t xml:space="preserve"> </w:t>
      </w:r>
      <w:hyperlink r:id="rId63">
        <w:r>
          <w:rPr>
            <w:rStyle w:val="Hyperlink"/>
          </w:rPr>
          <w:t xml:space="preserve">doi:10.1109/TCAD.2017.2778107</w:t>
        </w:r>
      </w:hyperlink>
    </w:p>
  </w:footnote>
  <w:footnote w:id="65">
    <w:p>
      <w:pPr>
        <w:pStyle w:val="FootnoteText"/>
      </w:pPr>
      <w:r>
        <w:rPr>
          <w:rStyle w:val="FootnoteReference"/>
        </w:rPr>
        <w:footnoteRef/>
      </w:r>
      <w:r>
        <w:t xml:space="preserve"> </w:t>
      </w:r>
      <w:r>
        <w:t xml:space="preserve">Lucas A. Ising formulations of many NP problems.</w:t>
      </w:r>
      <w:r>
        <w:t xml:space="preserve"> </w:t>
      </w:r>
      <w:r>
        <w:rPr>
          <w:i/>
          <w:iCs/>
        </w:rPr>
        <w:t xml:space="preserve">Frontiers in Physics</w:t>
      </w:r>
      <w:r>
        <w:t xml:space="preserve">, 2014, 2: 5.</w:t>
      </w:r>
      <w:r>
        <w:t xml:space="preserve"> </w:t>
      </w:r>
      <w:hyperlink r:id="rId66">
        <w:r>
          <w:rPr>
            <w:rStyle w:val="Hyperlink"/>
          </w:rPr>
          <w:t xml:space="preserve">doi:10.3389/fphy.2014.00005</w:t>
        </w:r>
      </w:hyperlink>
    </w:p>
  </w:footnote>
  <w:footnote w:id="67">
    <w:p>
      <w:pPr>
        <w:pStyle w:val="FootnoteText"/>
      </w:pPr>
      <w:r>
        <w:rPr>
          <w:rStyle w:val="FootnoteReference"/>
        </w:rPr>
        <w:footnoteRef/>
      </w:r>
      <w:r>
        <w:t xml:space="preserve"> </w:t>
      </w:r>
      <w:r>
        <w:t xml:space="preserve">Borders W A, Pervaiz A Z, Fukami S, Camsari K Y, Ohno H, Datta S. Integer factorization using stochastic magnetic tunnel junctions.</w:t>
      </w:r>
      <w:r>
        <w:t xml:space="preserve"> </w:t>
      </w:r>
      <w:r>
        <w:rPr>
          <w:i/>
          <w:iCs/>
        </w:rPr>
        <w:t xml:space="preserve">Nature</w:t>
      </w:r>
      <w:r>
        <w:t xml:space="preserve">, 2019, 573(7774): 390–393.</w:t>
      </w:r>
      <w:r>
        <w:t xml:space="preserve"> </w:t>
      </w:r>
      <w:hyperlink r:id="rId68">
        <w:r>
          <w:rPr>
            <w:rStyle w:val="Hyperlink"/>
          </w:rPr>
          <w:t xml:space="preserve">doi:10.1038/s41586-019-1557-9</w:t>
        </w:r>
      </w:hyperlink>
    </w:p>
  </w:footnote>
  <w:footnote w:id="70">
    <w:p>
      <w:pPr>
        <w:pStyle w:val="FootnoteText"/>
      </w:pPr>
      <w:r>
        <w:rPr>
          <w:rStyle w:val="FootnoteReference"/>
        </w:rPr>
        <w:footnoteRef/>
      </w:r>
      <w:r>
        <w:t xml:space="preserve"> </w:t>
      </w:r>
      <w:r>
        <w:t xml:space="preserve">Hopfield J J. Neural networks and physical systems with emergent collective computational abilities.</w:t>
      </w:r>
      <w:r>
        <w:t xml:space="preserve"> </w:t>
      </w:r>
      <w:r>
        <w:rPr>
          <w:i/>
          <w:iCs/>
        </w:rPr>
        <w:t xml:space="preserve">Proceedings of the National Academy of Sciences</w:t>
      </w:r>
      <w:r>
        <w:t xml:space="preserve">, 1982, 79(8): 2554–2558.</w:t>
      </w:r>
      <w:r>
        <w:t xml:space="preserve"> </w:t>
      </w:r>
      <w:hyperlink r:id="rId71">
        <w:r>
          <w:rPr>
            <w:rStyle w:val="Hyperlink"/>
          </w:rPr>
          <w:t xml:space="preserve">doi:10.1073/pnas.79.8.2554</w:t>
        </w:r>
      </w:hyperlink>
    </w:p>
  </w:footnote>
  <w:footnote w:id="72">
    <w:p>
      <w:pPr>
        <w:pStyle w:val="FootnoteText"/>
      </w:pPr>
      <w:r>
        <w:rPr>
          <w:rStyle w:val="FootnoteReference"/>
        </w:rPr>
        <w:footnoteRef/>
      </w:r>
      <w:r>
        <w:t xml:space="preserve"> </w:t>
      </w:r>
      <w:r>
        <w:t xml:space="preserve">Hopfield J J, Tank D W.</w:t>
      </w:r>
      <w:r>
        <w:t xml:space="preserve"> </w:t>
      </w:r>
      <w:r>
        <w:t xml:space="preserve">“Neural”</w:t>
      </w:r>
      <w:r>
        <w:t xml:space="preserve"> </w:t>
      </w:r>
      <w:r>
        <w:t xml:space="preserve">computation of decisions in optimization problems.</w:t>
      </w:r>
      <w:r>
        <w:t xml:space="preserve"> </w:t>
      </w:r>
      <w:r>
        <w:rPr>
          <w:i/>
          <w:iCs/>
        </w:rPr>
        <w:t xml:space="preserve">Biological Cybernetics</w:t>
      </w:r>
      <w:r>
        <w:t xml:space="preserve">, 1985, 52(3): 141–152.</w:t>
      </w:r>
      <w:r>
        <w:t xml:space="preserve"> </w:t>
      </w:r>
      <w:hyperlink r:id="rId73">
        <w:r>
          <w:rPr>
            <w:rStyle w:val="Hyperlink"/>
          </w:rPr>
          <w:t xml:space="preserve">doi:10.1007/BF00339943</w:t>
        </w:r>
      </w:hyperlink>
    </w:p>
  </w:footnote>
  <w:footnote w:id="74">
    <w:p>
      <w:pPr>
        <w:pStyle w:val="FootnoteText"/>
      </w:pPr>
      <w:r>
        <w:rPr>
          <w:rStyle w:val="FootnoteReference"/>
        </w:rPr>
        <w:footnoteRef/>
      </w:r>
      <w:r>
        <w:t xml:space="preserve"> </w:t>
      </w:r>
      <w:r>
        <w:t xml:space="preserve">Kirkpatrick S, Gelatt C D, Vecchi M P. Optimization by simulated annealing.</w:t>
      </w:r>
      <w:r>
        <w:t xml:space="preserve"> </w:t>
      </w:r>
      <w:r>
        <w:rPr>
          <w:i/>
          <w:iCs/>
        </w:rPr>
        <w:t xml:space="preserve">Science</w:t>
      </w:r>
      <w:r>
        <w:t xml:space="preserve">, 1983, 220(4598): 671–680.</w:t>
      </w:r>
      <w:r>
        <w:t xml:space="preserve"> </w:t>
      </w:r>
      <w:hyperlink r:id="rId75">
        <w:r>
          <w:rPr>
            <w:rStyle w:val="Hyperlink"/>
          </w:rPr>
          <w:t xml:space="preserve">doi:10.1126/science.220.4598.671</w:t>
        </w:r>
      </w:hyperlink>
    </w:p>
  </w:footnote>
  <w:footnote w:id="76">
    <w:p>
      <w:pPr>
        <w:pStyle w:val="FootnoteText"/>
      </w:pPr>
      <w:r>
        <w:rPr>
          <w:rStyle w:val="FootnoteReference"/>
        </w:rPr>
        <w:footnoteRef/>
      </w:r>
      <w:r>
        <w:t xml:space="preserve"> </w:t>
      </w:r>
      <w:r>
        <w:t xml:space="preserve">Ackley D H, Hinton G E, Sejnowski T J. A learning algorithm for Boltzmann machines.</w:t>
      </w:r>
      <w:r>
        <w:t xml:space="preserve"> </w:t>
      </w:r>
      <w:r>
        <w:rPr>
          <w:i/>
          <w:iCs/>
        </w:rPr>
        <w:t xml:space="preserve">Cognitive Science</w:t>
      </w:r>
      <w:r>
        <w:t xml:space="preserve">, 1985, 9(1): 147–169.</w:t>
      </w:r>
      <w:r>
        <w:t xml:space="preserve"> </w:t>
      </w:r>
      <w:hyperlink r:id="rId77">
        <w:r>
          <w:rPr>
            <w:rStyle w:val="Hyperlink"/>
          </w:rPr>
          <w:t xml:space="preserve">doi:10.1207/s15516709cog0901_7</w:t>
        </w:r>
      </w:hyperlink>
    </w:p>
  </w:footnote>
  <w:footnote w:id="78">
    <w:p>
      <w:pPr>
        <w:pStyle w:val="FootnoteText"/>
      </w:pPr>
      <w:r>
        <w:rPr>
          <w:rStyle w:val="FootnoteReference"/>
        </w:rPr>
        <w:footnoteRef/>
      </w:r>
      <w:r>
        <w:t xml:space="preserve"> </w:t>
      </w:r>
      <w:r>
        <w:t xml:space="preserve">Smolensky P. Information processing in dynamical systems: Foundations of harmony theory. In: Rumelhart D E, McClelland J L, eds. </w:t>
      </w:r>
      <w:r>
        <w:rPr>
          <w:i/>
          <w:iCs/>
        </w:rPr>
        <w:t xml:space="preserve">Parallel Distributed Processing, Vol. 1: Foundations</w:t>
      </w:r>
      <w:r>
        <w:t xml:space="preserve">. Cambridge MA: MIT Press, 1986: 194–281.</w:t>
      </w:r>
      <w:r>
        <w:t xml:space="preserve"> </w:t>
      </w:r>
      <w:hyperlink r:id="rId79">
        <w:r>
          <w:rPr>
            <w:rStyle w:val="Hyperlink"/>
          </w:rPr>
          <w:t xml:space="preserve">doi:10.7551/mitpress/5236.001.0001</w:t>
        </w:r>
      </w:hyperlink>
    </w:p>
  </w:footnote>
  <w:footnote w:id="80">
    <w:p>
      <w:pPr>
        <w:pStyle w:val="FootnoteText"/>
      </w:pPr>
      <w:r>
        <w:rPr>
          <w:rStyle w:val="FootnoteReference"/>
        </w:rPr>
        <w:footnoteRef/>
      </w:r>
      <w:r>
        <w:t xml:space="preserve"> </w:t>
      </w:r>
      <w:r>
        <w:t xml:space="preserve">Hinton G E. Training products of experts by minimizing contrastive divergence.</w:t>
      </w:r>
      <w:r>
        <w:t xml:space="preserve"> </w:t>
      </w:r>
      <w:r>
        <w:rPr>
          <w:i/>
          <w:iCs/>
        </w:rPr>
        <w:t xml:space="preserve">Neural Computation</w:t>
      </w:r>
      <w:r>
        <w:t xml:space="preserve">, 2002, 14(8): 1771–1800.</w:t>
      </w:r>
      <w:r>
        <w:t xml:space="preserve"> </w:t>
      </w:r>
      <w:hyperlink r:id="rId81">
        <w:r>
          <w:rPr>
            <w:rStyle w:val="Hyperlink"/>
          </w:rPr>
          <w:t xml:space="preserve">doi:10.1162/089976602760128018</w:t>
        </w:r>
      </w:hyperlink>
    </w:p>
  </w:footnote>
  <w:footnote w:id="82">
    <w:p>
      <w:pPr>
        <w:pStyle w:val="FootnoteText"/>
      </w:pPr>
      <w:r>
        <w:rPr>
          <w:rStyle w:val="FootnoteReference"/>
        </w:rPr>
        <w:footnoteRef/>
      </w:r>
      <w:r>
        <w:t xml:space="preserve"> </w:t>
      </w:r>
      <w:r>
        <w:t xml:space="preserve">Hinton G E, Osindero S, Teh Y W. A fast learning algorithm for deep belief nets.</w:t>
      </w:r>
      <w:r>
        <w:t xml:space="preserve"> </w:t>
      </w:r>
      <w:r>
        <w:rPr>
          <w:i/>
          <w:iCs/>
        </w:rPr>
        <w:t xml:space="preserve">Neural Computation</w:t>
      </w:r>
      <w:r>
        <w:t xml:space="preserve">, 2006, 18(7): 1527–1554.</w:t>
      </w:r>
      <w:r>
        <w:t xml:space="preserve"> </w:t>
      </w:r>
      <w:hyperlink r:id="rId83">
        <w:r>
          <w:rPr>
            <w:rStyle w:val="Hyperlink"/>
          </w:rPr>
          <w:t xml:space="preserve">doi:10.1162/neco.2006.18.7.1527</w:t>
        </w:r>
      </w:hyperlink>
    </w:p>
  </w:footnote>
  <w:footnote w:id="84">
    <w:p>
      <w:pPr>
        <w:pStyle w:val="FootnoteText"/>
      </w:pPr>
      <w:r>
        <w:rPr>
          <w:rStyle w:val="FootnoteReference"/>
        </w:rPr>
        <w:footnoteRef/>
      </w:r>
      <w:r>
        <w:t xml:space="preserve"> </w:t>
      </w:r>
      <w:r>
        <w:t xml:space="preserve">Salakhutdinov R, Hinton G. An efficient learning procedure for deep Boltzmann machines.</w:t>
      </w:r>
      <w:r>
        <w:t xml:space="preserve"> </w:t>
      </w:r>
      <w:r>
        <w:rPr>
          <w:i/>
          <w:iCs/>
        </w:rPr>
        <w:t xml:space="preserve">Neural Computation</w:t>
      </w:r>
      <w:r>
        <w:t xml:space="preserve">, 2012, 24(8): 1967–2006.</w:t>
      </w:r>
      <w:r>
        <w:t xml:space="preserve"> </w:t>
      </w:r>
      <w:hyperlink r:id="rId85">
        <w:r>
          <w:rPr>
            <w:rStyle w:val="Hyperlink"/>
          </w:rPr>
          <w:t xml:space="preserve">doi:10.1162/NECO_a_00311</w:t>
        </w:r>
      </w:hyperlink>
    </w:p>
  </w:footnote>
  <w:footnote w:id="86">
    <w:p>
      <w:pPr>
        <w:pStyle w:val="FootnoteText"/>
      </w:pPr>
      <w:r>
        <w:rPr>
          <w:rStyle w:val="FootnoteReference"/>
        </w:rPr>
        <w:footnoteRef/>
      </w:r>
      <w:r>
        <w:t xml:space="preserve"> </w:t>
      </w:r>
      <w:r>
        <w:t xml:space="preserve">Neal R M. Connectionist learning of belief networks.</w:t>
      </w:r>
      <w:r>
        <w:t xml:space="preserve"> </w:t>
      </w:r>
      <w:r>
        <w:rPr>
          <w:i/>
          <w:iCs/>
        </w:rPr>
        <w:t xml:space="preserve">Artificial Intelligence</w:t>
      </w:r>
      <w:r>
        <w:t xml:space="preserve">, 1992, 56(1): 71–113.</w:t>
      </w:r>
      <w:r>
        <w:t xml:space="preserve"> </w:t>
      </w:r>
      <w:hyperlink r:id="rId87">
        <w:r>
          <w:rPr>
            <w:rStyle w:val="Hyperlink"/>
          </w:rPr>
          <w:t xml:space="preserve">doi:10.1016/0004-3702(92)90065-6</w:t>
        </w:r>
      </w:hyperlink>
    </w:p>
  </w:footnote>
  <w:footnote w:id="88">
    <w:p>
      <w:pPr>
        <w:pStyle w:val="FootnoteText"/>
      </w:pPr>
      <w:r>
        <w:rPr>
          <w:rStyle w:val="FootnoteReference"/>
        </w:rPr>
        <w:footnoteRef/>
      </w:r>
      <w:r>
        <w:t xml:space="preserve"> </w:t>
      </w:r>
      <w:r>
        <w:t xml:space="preserve">Courbariaux M, Bengio Y, David J P. BinaryConnect: Training deep neural networks with binary weights during propagations.</w:t>
      </w:r>
      <w:r>
        <w:t xml:space="preserve"> </w:t>
      </w:r>
      <w:r>
        <w:rPr>
          <w:i/>
          <w:iCs/>
        </w:rPr>
        <w:t xml:space="preserve">Proc. Advances in Neural Information Processing Systems (NeurIPS)</w:t>
      </w:r>
      <w:r>
        <w:t xml:space="preserve">, 2015.</w:t>
      </w:r>
      <w:r>
        <w:t xml:space="preserve"> </w:t>
      </w:r>
      <w:hyperlink r:id="rId89">
        <w:r>
          <w:rPr>
            <w:rStyle w:val="Hyperlink"/>
          </w:rPr>
          <w:t xml:space="preserve">arXiv:1511.00363</w:t>
        </w:r>
      </w:hyperlink>
    </w:p>
  </w:footnote>
  <w:footnote w:id="90">
    <w:p>
      <w:pPr>
        <w:pStyle w:val="FootnoteText"/>
      </w:pPr>
      <w:r>
        <w:rPr>
          <w:rStyle w:val="FootnoteReference"/>
        </w:rPr>
        <w:footnoteRef/>
      </w:r>
      <w:r>
        <w:t xml:space="preserve"> </w:t>
      </w:r>
      <w:r>
        <w:t xml:space="preserve">Rastegari M, Ordonez V, Redmon J, Farhadi A. XNOR-Net: ImageNet classification using binary convolutional neural networks.</w:t>
      </w:r>
      <w:r>
        <w:t xml:space="preserve"> </w:t>
      </w:r>
      <w:r>
        <w:rPr>
          <w:i/>
          <w:iCs/>
        </w:rPr>
        <w:t xml:space="preserve">Proc. European Conference on Computer Vision (ECCV)</w:t>
      </w:r>
      <w:r>
        <w:t xml:space="preserve">, 2016: 525–542.</w:t>
      </w:r>
      <w:r>
        <w:t xml:space="preserve"> </w:t>
      </w:r>
      <w:hyperlink r:id="rId91">
        <w:r>
          <w:rPr>
            <w:rStyle w:val="Hyperlink"/>
          </w:rPr>
          <w:t xml:space="preserve">doi:10.1007/978-3-319-46493-0_32</w:t>
        </w:r>
      </w:hyperlink>
    </w:p>
  </w:footnote>
  <w:footnote w:id="92">
    <w:p>
      <w:pPr>
        <w:pStyle w:val="FootnoteText"/>
      </w:pPr>
      <w:r>
        <w:rPr>
          <w:rStyle w:val="FootnoteReference"/>
        </w:rPr>
        <w:footnoteRef/>
      </w:r>
      <w:r>
        <w:t xml:space="preserve"> </w:t>
      </w:r>
      <w:r>
        <w:t xml:space="preserve">Bengio Y, Léonard N, Courville A. Estimating or propagating gradients through stochastic neurons for conditional computation.</w:t>
      </w:r>
      <w:r>
        <w:t xml:space="preserve"> </w:t>
      </w:r>
      <w:hyperlink r:id="rId93">
        <w:r>
          <w:rPr>
            <w:rStyle w:val="Hyperlink"/>
          </w:rPr>
          <w:t xml:space="preserve">arXiv:1308.3432</w:t>
        </w:r>
      </w:hyperlink>
      <w:r>
        <w:t xml:space="preserve">, 2013.</w:t>
      </w:r>
    </w:p>
  </w:footnote>
  <w:footnote w:id="94">
    <w:p>
      <w:pPr>
        <w:pStyle w:val="FootnoteText"/>
      </w:pPr>
      <w:r>
        <w:rPr>
          <w:rStyle w:val="FootnoteReference"/>
        </w:rPr>
        <w:footnoteRef/>
      </w:r>
      <w:r>
        <w:t xml:space="preserve"> </w:t>
      </w:r>
      <w:r>
        <w:t xml:space="preserve">Shayer O, Levi D, Fetaya E. Learning discrete weights using the local reparameterization trick.</w:t>
      </w:r>
      <w:r>
        <w:t xml:space="preserve"> </w:t>
      </w:r>
      <w:r>
        <w:rPr>
          <w:i/>
          <w:iCs/>
        </w:rPr>
        <w:t xml:space="preserve">Proc. International Conference on Learning Representations (ICLR)</w:t>
      </w:r>
      <w:r>
        <w:t xml:space="preserve">, 2018.</w:t>
      </w:r>
      <w:r>
        <w:t xml:space="preserve"> </w:t>
      </w:r>
      <w:hyperlink r:id="rId95">
        <w:r>
          <w:rPr>
            <w:rStyle w:val="Hyperlink"/>
          </w:rPr>
          <w:t xml:space="preserve">arXiv:1710.07739</w:t>
        </w:r>
      </w:hyperlink>
    </w:p>
  </w:footnote>
  <w:footnote w:id="96">
    <w:p>
      <w:pPr>
        <w:pStyle w:val="FootnoteText"/>
      </w:pPr>
      <w:r>
        <w:rPr>
          <w:rStyle w:val="FootnoteReference"/>
        </w:rPr>
        <w:footnoteRef/>
      </w:r>
      <w:r>
        <w:t xml:space="preserve"> </w:t>
      </w:r>
      <w:r>
        <w:t xml:space="preserve">Peters J W T, Welling M. Probabilistic binary neural networks.</w:t>
      </w:r>
      <w:r>
        <w:t xml:space="preserve"> </w:t>
      </w:r>
      <w:hyperlink r:id="rId97">
        <w:r>
          <w:rPr>
            <w:rStyle w:val="Hyperlink"/>
          </w:rPr>
          <w:t xml:space="preserve">arXiv:1809.03368</w:t>
        </w:r>
      </w:hyperlink>
      <w:r>
        <w:t xml:space="preserve">, 2018.</w:t>
      </w:r>
    </w:p>
  </w:footnote>
  <w:footnote w:id="102">
    <w:p>
      <w:pPr>
        <w:pStyle w:val="FootnoteText"/>
      </w:pPr>
      <w:r>
        <w:rPr>
          <w:rStyle w:val="FootnoteReference"/>
        </w:rPr>
        <w:footnoteRef/>
      </w:r>
      <w:r>
        <w:t xml:space="preserve"> </w:t>
      </w:r>
      <w:r>
        <w:t xml:space="preserve">Singh N S, Kobayashi K, Cao Q, Selcuk K, Hu T, Niazi S, Aadit N A, Kanai S, Ohno H, Fukami S, Camsari K Y. CMOS plus stochastic nanomagnets enabling heterogeneous computers for probabilistic inference and learning.</w:t>
      </w:r>
      <w:r>
        <w:t xml:space="preserve"> </w:t>
      </w:r>
      <w:r>
        <w:rPr>
          <w:i/>
          <w:iCs/>
        </w:rPr>
        <w:t xml:space="preserve">Nature Communications</w:t>
      </w:r>
      <w:r>
        <w:t xml:space="preserve">, 2024, 15: 2685.</w:t>
      </w:r>
      <w:r>
        <w:t xml:space="preserve"> </w:t>
      </w:r>
      <w:hyperlink r:id="rId51">
        <w:r>
          <w:rPr>
            <w:rStyle w:val="Hyperlink"/>
          </w:rPr>
          <w:t xml:space="preserve">doi:10.1038/s41467-024-46645-6</w:t>
        </w:r>
      </w:hyperlink>
    </w:p>
  </w:footnote>
  <w:footnote w:id="103">
    <w:p>
      <w:pPr>
        <w:pStyle w:val="FootnoteText"/>
      </w:pPr>
      <w:r>
        <w:rPr>
          <w:rStyle w:val="FootnoteReference"/>
        </w:rPr>
        <w:footnoteRef/>
      </w:r>
      <w:r>
        <w:t xml:space="preserve"> </w:t>
      </w:r>
      <w:r>
        <w:t xml:space="preserve">Parihar A, Shukla N, Jerry M, Datta S, Raychowdhury A. Stochastic IMT (insulator-metal-transition) neurons: An interplay of thermal and threshold noise at bifurcation.</w:t>
      </w:r>
      <w:r>
        <w:t xml:space="preserve"> </w:t>
      </w:r>
      <w:r>
        <w:rPr>
          <w:i/>
          <w:iCs/>
        </w:rPr>
        <w:t xml:space="preserve">Frontiers in Neuroscience</w:t>
      </w:r>
      <w:r>
        <w:t xml:space="preserve">, 2018, 12: 210.</w:t>
      </w:r>
      <w:r>
        <w:t xml:space="preserve"> </w:t>
      </w:r>
      <w:hyperlink r:id="rId104">
        <w:r>
          <w:rPr>
            <w:rStyle w:val="Hyperlink"/>
          </w:rPr>
          <w:t xml:space="preserve">doi:10.3389/fnins.2018.00210</w:t>
        </w:r>
      </w:hyperlink>
    </w:p>
  </w:footnote>
  <w:footnote w:id="105">
    <w:p>
      <w:pPr>
        <w:pStyle w:val="FootnoteText"/>
      </w:pPr>
      <w:r>
        <w:rPr>
          <w:rStyle w:val="FootnoteReference"/>
        </w:rPr>
        <w:footnoteRef/>
      </w:r>
      <w:r>
        <w:t xml:space="preserve"> </w:t>
      </w:r>
      <w:r>
        <w:t xml:space="preserve">Singh N S, Kobayashi K, Cao Q, Selcuk K, Hu T, Niazi S, Aadit N A, Kanai S, Ohno H, Fukami S, Camsari K Y. CMOS plus stochastic nanomagnets enabling heterogeneous computers for probabilistic inference and learning.</w:t>
      </w:r>
      <w:r>
        <w:t xml:space="preserve"> </w:t>
      </w:r>
      <w:r>
        <w:rPr>
          <w:i/>
          <w:iCs/>
        </w:rPr>
        <w:t xml:space="preserve">Nature Communications</w:t>
      </w:r>
      <w:r>
        <w:t xml:space="preserve">, 2024, 15: 2685.</w:t>
      </w:r>
      <w:r>
        <w:t xml:space="preserve"> </w:t>
      </w:r>
      <w:hyperlink r:id="rId51">
        <w:r>
          <w:rPr>
            <w:rStyle w:val="Hyperlink"/>
          </w:rPr>
          <w:t xml:space="preserve">doi:10.1038/s41467-024-46645-6</w:t>
        </w:r>
      </w:hyperlink>
    </w:p>
  </w:footnote>
  <w:footnote w:id="106">
    <w:p>
      <w:pPr>
        <w:pStyle w:val="FootnoteText"/>
      </w:pPr>
      <w:r>
        <w:rPr>
          <w:rStyle w:val="FootnoteReference"/>
        </w:rPr>
        <w:footnoteRef/>
      </w:r>
      <w:r>
        <w:t xml:space="preserve"> </w:t>
      </w:r>
      <w:r>
        <w:t xml:space="preserve">Vodenicarevic D, Locatelli N, Mizrahi A, Friedman J S, Vincent A F, Romera M, Fukushima A, Yakushiji K, Kubota H, Yuasa S, Tiwari S, Grollier J, Querlioz D. Low-energy truly random number generation with superparamagnetic tunnel junctions for unconventional computing.</w:t>
      </w:r>
      <w:r>
        <w:t xml:space="preserve"> </w:t>
      </w:r>
      <w:r>
        <w:rPr>
          <w:i/>
          <w:iCs/>
        </w:rPr>
        <w:t xml:space="preserve">Physical Review Applied</w:t>
      </w:r>
      <w:r>
        <w:t xml:space="preserve">, 2017, 8(5): 054045.</w:t>
      </w:r>
      <w:r>
        <w:t xml:space="preserve"> </w:t>
      </w:r>
      <w:hyperlink r:id="rId107">
        <w:r>
          <w:rPr>
            <w:rStyle w:val="Hyperlink"/>
          </w:rPr>
          <w:t xml:space="preserve">doi:10.1103/PhysRevApplied.8.054045</w:t>
        </w:r>
      </w:hyperlink>
    </w:p>
  </w:footnote>
  <w:footnote w:id="108">
    <w:p>
      <w:pPr>
        <w:pStyle w:val="FootnoteText"/>
      </w:pPr>
      <w:r>
        <w:rPr>
          <w:rStyle w:val="FootnoteReference"/>
        </w:rPr>
        <w:footnoteRef/>
      </w:r>
      <w:r>
        <w:t xml:space="preserve"> </w:t>
      </w:r>
      <w:r>
        <w:t xml:space="preserve">Camsari K Y, Sutton B M, Datta S. p-bits for probabilistic spin logic.</w:t>
      </w:r>
      <w:r>
        <w:t xml:space="preserve"> </w:t>
      </w:r>
      <w:r>
        <w:rPr>
          <w:i/>
          <w:iCs/>
        </w:rPr>
        <w:t xml:space="preserve">Applied Physics Reviews</w:t>
      </w:r>
      <w:r>
        <w:t xml:space="preserve">, 2019, 6(1): 011305.</w:t>
      </w:r>
      <w:r>
        <w:t xml:space="preserve"> </w:t>
      </w:r>
      <w:hyperlink r:id="rId109">
        <w:r>
          <w:rPr>
            <w:rStyle w:val="Hyperlink"/>
          </w:rPr>
          <w:t xml:space="preserve">doi:10.1063/1.5055860</w:t>
        </w:r>
      </w:hyperlink>
    </w:p>
  </w:footnote>
  <w:footnote w:id="110">
    <w:p>
      <w:pPr>
        <w:pStyle w:val="FootnoteText"/>
      </w:pPr>
      <w:r>
        <w:rPr>
          <w:rStyle w:val="FootnoteReference"/>
        </w:rPr>
        <w:footnoteRef/>
      </w:r>
      <w:r>
        <w:t xml:space="preserve"> </w:t>
      </w:r>
      <w:r>
        <w:t xml:space="preserve">Hayakawa K, Kanai S, Funatsu T, Igarashi J, Jinnai B, Borders W A, Ohno H, Fukami S. Nanosecond random telegraph noise in in-plane magnetic tunnel junctions.</w:t>
      </w:r>
      <w:r>
        <w:t xml:space="preserve"> </w:t>
      </w:r>
      <w:r>
        <w:rPr>
          <w:i/>
          <w:iCs/>
        </w:rPr>
        <w:t xml:space="preserve">Physical Review Letters</w:t>
      </w:r>
      <w:r>
        <w:t xml:space="preserve">, 2021, 126(11): 117202.</w:t>
      </w:r>
      <w:r>
        <w:t xml:space="preserve"> </w:t>
      </w:r>
      <w:hyperlink r:id="rId111">
        <w:r>
          <w:rPr>
            <w:rStyle w:val="Hyperlink"/>
          </w:rPr>
          <w:t xml:space="preserve">doi:10.1103/PhysRevLett.126.117202</w:t>
        </w:r>
      </w:hyperlink>
    </w:p>
  </w:footnote>
  <w:footnote w:id="112">
    <w:p>
      <w:pPr>
        <w:pStyle w:val="FootnoteText"/>
      </w:pPr>
      <w:r>
        <w:rPr>
          <w:rStyle w:val="FootnoteReference"/>
        </w:rPr>
        <w:footnoteRef/>
      </w:r>
      <w:r>
        <w:t xml:space="preserve"> </w:t>
      </w:r>
      <w:r>
        <w:t xml:space="preserve">Safranski C, Kaiser J, Trouilloud P, Hashemi P, Hu G, Sun J Z. Demonstration of nanosecond operation in stochastic magnetic tunnel junctions.</w:t>
      </w:r>
      <w:r>
        <w:t xml:space="preserve"> </w:t>
      </w:r>
      <w:r>
        <w:rPr>
          <w:i/>
          <w:iCs/>
        </w:rPr>
        <w:t xml:space="preserve">Nano Letters</w:t>
      </w:r>
      <w:r>
        <w:t xml:space="preserve">, 2021, 21(5): 2040–2045.</w:t>
      </w:r>
      <w:r>
        <w:t xml:space="preserve"> </w:t>
      </w:r>
      <w:hyperlink r:id="rId113">
        <w:r>
          <w:rPr>
            <w:rStyle w:val="Hyperlink"/>
          </w:rPr>
          <w:t xml:space="preserve">doi:10.1021/acs.nanolett.0c04652</w:t>
        </w:r>
      </w:hyperlink>
    </w:p>
  </w:footnote>
  <w:footnote w:id="115">
    <w:p>
      <w:pPr>
        <w:pStyle w:val="FootnoteText"/>
      </w:pPr>
      <w:r>
        <w:rPr>
          <w:rStyle w:val="FootnoteReference"/>
        </w:rPr>
        <w:footnoteRef/>
      </w:r>
      <w:r>
        <w:t xml:space="preserve"> </w:t>
      </w:r>
      <w:r>
        <w:t xml:space="preserve">Singh N S, Niazi S, Chowdhury S, Selcuk K, Kaneko H, Kobayashi K, Kanai S, Ohno H, Fukami S, Camsari K Y. Hardware demonstration of feedforward stochastic neural networks with fast MTJ-based p-bits.</w:t>
      </w:r>
      <w:r>
        <w:t xml:space="preserve"> </w:t>
      </w:r>
      <w:r>
        <w:rPr>
          <w:i/>
          <w:iCs/>
        </w:rPr>
        <w:t xml:space="preserve">Proc. IEEE International Electron Devices Meeting (IEDM)</w:t>
      </w:r>
      <w:r>
        <w:t xml:space="preserve">, 2023: 1–4.</w:t>
      </w:r>
      <w:r>
        <w:t xml:space="preserve"> </w:t>
      </w:r>
      <w:hyperlink r:id="rId116">
        <w:r>
          <w:rPr>
            <w:rStyle w:val="Hyperlink"/>
          </w:rPr>
          <w:t xml:space="preserve">doi:10.1109/IEDM45741.2023.10413686</w:t>
        </w:r>
      </w:hyperlink>
    </w:p>
  </w:footnote>
  <w:footnote w:id="119">
    <w:p>
      <w:pPr>
        <w:pStyle w:val="FootnoteText"/>
      </w:pPr>
      <w:r>
        <w:rPr>
          <w:rStyle w:val="FootnoteReference"/>
        </w:rPr>
        <w:footnoteRef/>
      </w:r>
      <w:r>
        <w:t xml:space="preserve"> </w:t>
      </w:r>
      <w:r>
        <w:t xml:space="preserve">Bengio Y, Léonard N, Courville A. Estimating or propagating gradients through stochastic neurons for conditional computation.</w:t>
      </w:r>
      <w:r>
        <w:t xml:space="preserve"> </w:t>
      </w:r>
      <w:hyperlink r:id="rId93">
        <w:r>
          <w:rPr>
            <w:rStyle w:val="Hyperlink"/>
          </w:rPr>
          <w:t xml:space="preserve">arXiv:1308.3432</w:t>
        </w:r>
      </w:hyperlink>
      <w:r>
        <w:t xml:space="preserve">, 2013.</w:t>
      </w:r>
    </w:p>
  </w:footnote>
  <w:footnote w:id="121">
    <w:p>
      <w:pPr>
        <w:pStyle w:val="FootnoteText"/>
      </w:pPr>
      <w:r>
        <w:rPr>
          <w:rStyle w:val="FootnoteReference"/>
        </w:rPr>
        <w:footnoteRef/>
      </w:r>
      <w:r>
        <w:t xml:space="preserve"> </w:t>
      </w:r>
      <w:r>
        <w:t xml:space="preserve">Koch R H, Katine J A, Sun J Z. Time-resolved reversal of spin-transfer switching in a nanomagnet.</w:t>
      </w:r>
      <w:r>
        <w:t xml:space="preserve"> </w:t>
      </w:r>
      <w:r>
        <w:rPr>
          <w:i/>
          <w:iCs/>
        </w:rPr>
        <w:t xml:space="preserve">Physical Review Letters</w:t>
      </w:r>
      <w:r>
        <w:t xml:space="preserve">, 2004, 92(8): 088302.</w:t>
      </w:r>
      <w:r>
        <w:t xml:space="preserve"> </w:t>
      </w:r>
      <w:hyperlink r:id="rId122">
        <w:r>
          <w:rPr>
            <w:rStyle w:val="Hyperlink"/>
          </w:rPr>
          <w:t xml:space="preserve">doi:10.1103/PhysRevLett.92.088302</w:t>
        </w:r>
      </w:hyperlink>
    </w:p>
  </w:footnote>
  <w:footnote w:id="123">
    <w:p>
      <w:pPr>
        <w:pStyle w:val="FootnoteText"/>
      </w:pPr>
      <w:r>
        <w:rPr>
          <w:rStyle w:val="FootnoteReference"/>
        </w:rPr>
        <w:footnoteRef/>
      </w:r>
      <w:r>
        <w:t xml:space="preserve"> </w:t>
      </w:r>
      <w:r>
        <w:t xml:space="preserve">Butler W H, Mewes T, Mewes C K A, Visscher P B, Rippard W H, Russek S E, Heindl R. Switching distributions for perpendicular spin-torque devices within the macrospin approximation.</w:t>
      </w:r>
      <w:r>
        <w:t xml:space="preserve"> </w:t>
      </w:r>
      <w:r>
        <w:rPr>
          <w:i/>
          <w:iCs/>
        </w:rPr>
        <w:t xml:space="preserve">IEEE Transactions on Magnetics</w:t>
      </w:r>
      <w:r>
        <w:t xml:space="preserve">, 2012, 48(12): 4684–4700.</w:t>
      </w:r>
      <w:r>
        <w:t xml:space="preserve"> </w:t>
      </w:r>
      <w:hyperlink r:id="rId124">
        <w:r>
          <w:rPr>
            <w:rStyle w:val="Hyperlink"/>
          </w:rPr>
          <w:t xml:space="preserve">doi:10.1109/TMAG.2012.2209122</w:t>
        </w:r>
      </w:hyperlink>
    </w:p>
  </w:footnote>
  <w:footnote w:id="125">
    <w:p>
      <w:pPr>
        <w:pStyle w:val="FootnoteText"/>
      </w:pPr>
      <w:r>
        <w:rPr>
          <w:rStyle w:val="FootnoteReference"/>
        </w:rPr>
        <w:footnoteRef/>
      </w:r>
      <w:r>
        <w:t xml:space="preserve"> </w:t>
      </w:r>
      <w:r>
        <w:t xml:space="preserve">Safranski C, Kaiser J, Trouilloud P, Hashemi P, Hu G, Sun J Z. Demonstration of nanosecond operation in stochastic magnetic tunnel junctions.</w:t>
      </w:r>
      <w:r>
        <w:t xml:space="preserve"> </w:t>
      </w:r>
      <w:r>
        <w:rPr>
          <w:i/>
          <w:iCs/>
        </w:rPr>
        <w:t xml:space="preserve">Nano Letters</w:t>
      </w:r>
      <w:r>
        <w:t xml:space="preserve">, 2021, 21(5): 2040–2045.</w:t>
      </w:r>
      <w:r>
        <w:t xml:space="preserve"> </w:t>
      </w:r>
      <w:hyperlink r:id="rId113">
        <w:r>
          <w:rPr>
            <w:rStyle w:val="Hyperlink"/>
          </w:rPr>
          <w:t xml:space="preserve">doi:10.1021/acs.nanolett.0c04652</w:t>
        </w:r>
      </w:hyperlink>
    </w:p>
  </w:footnote>
  <w:footnote w:id="126">
    <w:p>
      <w:pPr>
        <w:pStyle w:val="FootnoteText"/>
      </w:pPr>
      <w:r>
        <w:rPr>
          <w:rStyle w:val="FootnoteReference"/>
        </w:rPr>
        <w:footnoteRef/>
      </w:r>
      <w:r>
        <w:t xml:space="preserve"> </w:t>
      </w:r>
      <w:r>
        <w:t xml:space="preserve">Daniel J, Sun Z, Zhang X, Tan Y, Dilley N, Chen Z, Appenzeller J. Experimental demonstration of an on-chip p-bit core based on stochastic magnetic tunnel junctions and 2D MoS</w:t>
      </w:r>
      <m:oMath>
        <m:sSub>
          <m:e>
            <m:r>
              <m:t>​</m:t>
            </m:r>
          </m:e>
          <m:sub>
            <m:r>
              <m:t>2</m:t>
            </m:r>
          </m:sub>
        </m:sSub>
      </m:oMath>
      <w:r>
        <w:t xml:space="preserve"> </w:t>
      </w:r>
      <w:r>
        <w:t xml:space="preserve">transistors.</w:t>
      </w:r>
      <w:r>
        <w:t xml:space="preserve"> </w:t>
      </w:r>
      <w:r>
        <w:rPr>
          <w:i/>
          <w:iCs/>
        </w:rPr>
        <w:t xml:space="preserve">Nature Communications</w:t>
      </w:r>
      <w:r>
        <w:t xml:space="preserve">, 2024, 15: 4098.</w:t>
      </w:r>
      <w:r>
        <w:t xml:space="preserve"> </w:t>
      </w:r>
      <w:hyperlink r:id="rId127">
        <w:r>
          <w:rPr>
            <w:rStyle w:val="Hyperlink"/>
          </w:rPr>
          <w:t xml:space="preserve">doi:10.1038/s41467-024-48152-0</w:t>
        </w:r>
      </w:hyperlink>
    </w:p>
  </w:footnote>
  <w:footnote w:id="128">
    <w:p>
      <w:pPr>
        <w:pStyle w:val="FootnoteText"/>
      </w:pPr>
      <w:r>
        <w:rPr>
          <w:rStyle w:val="FootnoteReference"/>
        </w:rPr>
        <w:footnoteRef/>
      </w:r>
      <w:r>
        <w:t xml:space="preserve"> </w:t>
      </w:r>
      <w:r>
        <w:t xml:space="preserve">Singh N S, Niazi S, Chowdhury S, Selcuk K, Kaneko H, Kobayashi K, Kanai S, Ohno H, Fukami S, Camsari K Y. Hardware demonstration of feedforward stochastic neural networks with fast MTJ-based p-bits.</w:t>
      </w:r>
      <w:r>
        <w:t xml:space="preserve"> </w:t>
      </w:r>
      <w:r>
        <w:rPr>
          <w:i/>
          <w:iCs/>
        </w:rPr>
        <w:t xml:space="preserve">Proc. IEEE International Electron Devices Meeting (IEDM)</w:t>
      </w:r>
      <w:r>
        <w:t xml:space="preserve">, 2023: 1–4.</w:t>
      </w:r>
      <w:r>
        <w:t xml:space="preserve"> </w:t>
      </w:r>
      <w:hyperlink r:id="rId116">
        <w:r>
          <w:rPr>
            <w:rStyle w:val="Hyperlink"/>
          </w:rPr>
          <w:t xml:space="preserve">doi:10.1109/IEDM45741.2023.10413686</w:t>
        </w:r>
      </w:hyperlink>
    </w:p>
  </w:footnote>
  <w:footnote w:id="129">
    <w:p>
      <w:pPr>
        <w:pStyle w:val="FootnoteText"/>
      </w:pPr>
      <w:r>
        <w:rPr>
          <w:rStyle w:val="FootnoteReference"/>
        </w:rPr>
        <w:footnoteRef/>
      </w:r>
      <w:r>
        <w:t xml:space="preserve"> </w:t>
      </w:r>
      <w:r>
        <w:t xml:space="preserve">Deng X, Li Y, Fang B, Wang L. VCMA-MRAM in-memory stochastic sampling for edge Boltzmann machine inference.</w:t>
      </w:r>
      <w:r>
        <w:t xml:space="preserve"> </w:t>
      </w:r>
      <w:r>
        <w:rPr>
          <w:i/>
          <w:iCs/>
        </w:rPr>
        <w:t xml:space="preserve">Electronics</w:t>
      </w:r>
      <w:r>
        <w:t xml:space="preserve">, 2026, 15(8): 1622.</w:t>
      </w:r>
      <w:r>
        <w:t xml:space="preserve"> </w:t>
      </w:r>
      <w:hyperlink r:id="rId130">
        <w:r>
          <w:rPr>
            <w:rStyle w:val="Hyperlink"/>
          </w:rPr>
          <w:t xml:space="preserve">doi:10.3390/electronics15081622</w:t>
        </w:r>
      </w:hyperlink>
    </w:p>
  </w:footnote>
  <w:footnote w:id="131">
    <w:p>
      <w:pPr>
        <w:pStyle w:val="FootnoteText"/>
      </w:pPr>
      <w:r>
        <w:rPr>
          <w:rStyle w:val="FootnoteReference"/>
        </w:rPr>
        <w:footnoteRef/>
      </w:r>
      <w:r>
        <w:t xml:space="preserve"> </w:t>
      </w:r>
      <w:r>
        <w:rPr>
          <w:rFonts w:hint="eastAsia"/>
        </w:rPr>
        <w:t xml:space="preserve">严格地说，Arrhenius律的</w:t>
      </w:r>
      <m:oMath>
        <m:sSub>
          <m:e>
            <m:r>
              <m:t>P</m:t>
            </m:r>
          </m:e>
          <m:sub>
            <m:r>
              <m:rPr>
                <m:sty m:val="p"/>
              </m:rPr>
              <m:t>s</m:t>
            </m:r>
            <m:r>
              <m:rPr>
                <m:sty m:val="p"/>
              </m:rPr>
              <m:t>w</m:t>
            </m:r>
          </m:sub>
        </m:sSub>
      </m:oMath>
      <w:r>
        <w:rPr>
          <w:rFonts w:hint="eastAsia"/>
        </w:rPr>
        <w:t xml:space="preserve">以确定的写前初态为条件，写后状态服从目标伯努利分布还要求初态在时序上可控</w:t>
      </w:r>
      <w:r>
        <w:t xml:space="preserve"> </w:t>
      </w:r>
      <w:r>
        <w:rPr>
          <w:rFonts w:hint="eastAsia"/>
        </w:rPr>
        <w:t xml:space="preserve">(如经复位，或依据读出的已知态选择脉冲极性)。第四章把每个样本组织为写-弛豫-读的相位循环以满足该前提，本文仿真在此抽象层直接生成目标概率的伯努利样本。</w:t>
      </w:r>
    </w:p>
  </w:footnote>
  <w:footnote w:id="132">
    <w:p>
      <w:pPr>
        <w:pStyle w:val="FootnoteText"/>
      </w:pPr>
      <w:r>
        <w:rPr>
          <w:rStyle w:val="FootnoteReference"/>
        </w:rPr>
        <w:footnoteRef/>
      </w:r>
      <w:r>
        <w:t xml:space="preserve"> </w:t>
      </w:r>
      <w:r>
        <w:t xml:space="preserve">Ikeda S, Miura K, Yamamoto H, et al. A perpendicular-anisotropy CoFeB–MgO magnetic tunnel junction.</w:t>
      </w:r>
      <w:r>
        <w:t xml:space="preserve"> </w:t>
      </w:r>
      <w:r>
        <w:rPr>
          <w:i/>
          <w:iCs/>
        </w:rPr>
        <w:t xml:space="preserve">Nature Materials</w:t>
      </w:r>
      <w:r>
        <w:t xml:space="preserve">, 2010, 9(9): 721–724.</w:t>
      </w:r>
      <w:r>
        <w:t xml:space="preserve"> </w:t>
      </w:r>
      <w:hyperlink r:id="rId133">
        <w:r>
          <w:rPr>
            <w:rStyle w:val="Hyperlink"/>
          </w:rPr>
          <w:t xml:space="preserve">doi:10.1038/nmat2804</w:t>
        </w:r>
      </w:hyperlink>
    </w:p>
  </w:footnote>
  <w:footnote w:id="134">
    <w:p>
      <w:pPr>
        <w:pStyle w:val="FootnoteText"/>
      </w:pPr>
      <w:r>
        <w:rPr>
          <w:rStyle w:val="FootnoteReference"/>
        </w:rPr>
        <w:footnoteRef/>
      </w:r>
      <w:r>
        <w:t xml:space="preserve"> </w:t>
      </w:r>
      <w:r>
        <w:t xml:space="preserve">Honjo H, Nguyen T V A, Watanabe T, et al. First demonstration of field-free SOT-MRAM with 0.35 ns write speed and 70 thermal stability factor.</w:t>
      </w:r>
      <w:r>
        <w:t xml:space="preserve"> </w:t>
      </w:r>
      <w:r>
        <w:rPr>
          <w:i/>
          <w:iCs/>
        </w:rPr>
        <w:t xml:space="preserve">Proc. IEEE International Electron Devices Meeting (IEDM)</w:t>
      </w:r>
      <w:r>
        <w:t xml:space="preserve">, 2019: 28.5.1–28.5.4.</w:t>
      </w:r>
      <w:r>
        <w:t xml:space="preserve"> </w:t>
      </w:r>
      <w:hyperlink r:id="rId135">
        <w:r>
          <w:rPr>
            <w:rStyle w:val="Hyperlink"/>
          </w:rPr>
          <w:t xml:space="preserve">doi:10.1109/IEDM19573.2019.8993443</w:t>
        </w:r>
      </w:hyperlink>
    </w:p>
  </w:footnote>
  <w:footnote w:id="137">
    <w:p>
      <w:pPr>
        <w:pStyle w:val="FootnoteText"/>
      </w:pPr>
      <w:r>
        <w:rPr>
          <w:rStyle w:val="FootnoteReference"/>
        </w:rPr>
        <w:footnoteRef/>
      </w:r>
      <w:r>
        <w:t xml:space="preserve"> </w:t>
      </w:r>
      <w:r>
        <w:t xml:space="preserve">Appeltant L, Soriano M C, Van der Sande G, Danckaert J, Massar S, Dambre J, Schrauwen B, Mirasso C R, Fischer I. Information processing using a single dynamical node as complex system.</w:t>
      </w:r>
      <w:r>
        <w:t xml:space="preserve"> </w:t>
      </w:r>
      <w:r>
        <w:rPr>
          <w:i/>
          <w:iCs/>
        </w:rPr>
        <w:t xml:space="preserve">Nature Communications</w:t>
      </w:r>
      <w:r>
        <w:t xml:space="preserve">, 2011, 2: 468.</w:t>
      </w:r>
      <w:r>
        <w:t xml:space="preserve"> </w:t>
      </w:r>
      <w:hyperlink r:id="rId138">
        <w:r>
          <w:rPr>
            <w:rStyle w:val="Hyperlink"/>
          </w:rPr>
          <w:t xml:space="preserve">doi:10.1038/ncomms1476</w:t>
        </w:r>
      </w:hyperlink>
    </w:p>
  </w:footnote>
  <w:footnote w:id="140">
    <w:p>
      <w:pPr>
        <w:pStyle w:val="FootnoteText"/>
      </w:pPr>
      <w:r>
        <w:rPr>
          <w:rStyle w:val="FootnoteReference"/>
        </w:rPr>
        <w:footnoteRef/>
      </w:r>
      <w:r>
        <w:t xml:space="preserve"> </w:t>
      </w:r>
      <w:r>
        <w:t xml:space="preserve">Pham T N, Trinh Q K, Chang I J, Alioto M. STT-BNN: A novel STT-MRAM in-memory computing macro for binary neural networks.</w:t>
      </w:r>
      <w:r>
        <w:t xml:space="preserve"> </w:t>
      </w:r>
      <w:r>
        <w:rPr>
          <w:i/>
          <w:iCs/>
        </w:rPr>
        <w:t xml:space="preserve">IEEE Journal on Emerging and Selected Topics in Circuits and Systems</w:t>
      </w:r>
      <w:r>
        <w:t xml:space="preserve">, 2022, 12(2): 569–579.</w:t>
      </w:r>
      <w:r>
        <w:t xml:space="preserve"> </w:t>
      </w:r>
      <w:hyperlink r:id="rId141">
        <w:r>
          <w:rPr>
            <w:rStyle w:val="Hyperlink"/>
          </w:rPr>
          <w:t xml:space="preserve">doi:10.1109/JETCAS.2022.3169759</w:t>
        </w:r>
      </w:hyperlink>
    </w:p>
  </w:footnote>
  <w:footnote w:id="142">
    <w:p>
      <w:pPr>
        <w:pStyle w:val="FootnoteText"/>
      </w:pPr>
      <w:r>
        <w:rPr>
          <w:rStyle w:val="FootnoteReference"/>
        </w:rPr>
        <w:footnoteRef/>
      </w:r>
      <w:r>
        <w:t xml:space="preserve"> </w:t>
      </w:r>
      <w:r>
        <w:t xml:space="preserve">Fan D, Angizi S. Energy efficient in-memory binary deep neural network accelerator with dual-mode SOT-MRAM.</w:t>
      </w:r>
      <w:r>
        <w:t xml:space="preserve"> </w:t>
      </w:r>
      <w:r>
        <w:rPr>
          <w:i/>
          <w:iCs/>
        </w:rPr>
        <w:t xml:space="preserve">Proc. IEEE International Conference on Computer Design (ICCD)</w:t>
      </w:r>
      <w:r>
        <w:t xml:space="preserve">, 2017: 609–612.</w:t>
      </w:r>
      <w:r>
        <w:t xml:space="preserve"> </w:t>
      </w:r>
      <w:hyperlink r:id="rId143">
        <w:r>
          <w:rPr>
            <w:rStyle w:val="Hyperlink"/>
          </w:rPr>
          <w:t xml:space="preserve">doi:10.1109/ICCD.2017.107</w:t>
        </w:r>
      </w:hyperlink>
    </w:p>
  </w:footnote>
  <w:footnote w:id="144">
    <w:p>
      <w:pPr>
        <w:pStyle w:val="FootnoteText"/>
      </w:pPr>
      <w:r>
        <w:rPr>
          <w:rStyle w:val="FootnoteReference"/>
        </w:rPr>
        <w:footnoteRef/>
      </w:r>
      <w:r>
        <w:t xml:space="preserve"> </w:t>
      </w:r>
      <w:r>
        <w:t xml:space="preserve">Fujiwara Y, Kawahara T. TGBNN: Training algorithm of binarized neural network with ternary gradients for MRAM-based computing-in-memory architecture.</w:t>
      </w:r>
      <w:r>
        <w:t xml:space="preserve"> </w:t>
      </w:r>
      <w:r>
        <w:rPr>
          <w:i/>
          <w:iCs/>
        </w:rPr>
        <w:t xml:space="preserve">IEEE Access</w:t>
      </w:r>
      <w:r>
        <w:t xml:space="preserve">, 2024, 12: 150962–150971.</w:t>
      </w:r>
      <w:r>
        <w:t xml:space="preserve"> </w:t>
      </w:r>
      <w:hyperlink r:id="rId145">
        <w:r>
          <w:rPr>
            <w:rStyle w:val="Hyperlink"/>
          </w:rPr>
          <w:t xml:space="preserve">doi:10.1109/ACCESS.2024.3476417</w:t>
        </w:r>
      </w:hyperlink>
    </w:p>
  </w:footnote>
  <w:footnote w:id="146">
    <w:p>
      <w:pPr>
        <w:pStyle w:val="FootnoteText"/>
      </w:pPr>
      <w:r>
        <w:rPr>
          <w:rStyle w:val="FootnoteReference"/>
        </w:rPr>
        <w:footnoteRef/>
      </w:r>
      <w:r>
        <w:t xml:space="preserve"> </w:t>
      </w:r>
      <w:r>
        <w:t xml:space="preserve">Borders W A, Pervaiz A Z, Fukami S, Camsari K Y, Ohno H, Datta S. Integer factorization using stochastic magnetic tunnel junctions.</w:t>
      </w:r>
      <w:r>
        <w:t xml:space="preserve"> </w:t>
      </w:r>
      <w:r>
        <w:rPr>
          <w:i/>
          <w:iCs/>
        </w:rPr>
        <w:t xml:space="preserve">Nature</w:t>
      </w:r>
      <w:r>
        <w:t xml:space="preserve">, 2019, 573(7774): 390–393.</w:t>
      </w:r>
      <w:r>
        <w:t xml:space="preserve"> </w:t>
      </w:r>
      <w:hyperlink r:id="rId68">
        <w:r>
          <w:rPr>
            <w:rStyle w:val="Hyperlink"/>
          </w:rPr>
          <w:t xml:space="preserve">doi:10.1038/s41586-019-1557-9</w:t>
        </w:r>
      </w:hyperlink>
    </w:p>
  </w:footnote>
  <w:footnote w:id="147">
    <w:p>
      <w:pPr>
        <w:pStyle w:val="FootnoteText"/>
      </w:pPr>
      <w:r>
        <w:rPr>
          <w:rStyle w:val="FootnoteReference"/>
        </w:rPr>
        <w:footnoteRef/>
      </w:r>
      <w:r>
        <w:t xml:space="preserve"> </w:t>
      </w:r>
      <w:r>
        <w:t xml:space="preserve">Aadit N A, Grimaldi A, Carpentieri M, Theogarajan L, Martinis J M, Finocchio G, Camsari K Y. Massively parallel probabilistic computing with sparse Ising machines.</w:t>
      </w:r>
      <w:r>
        <w:t xml:space="preserve"> </w:t>
      </w:r>
      <w:r>
        <w:rPr>
          <w:i/>
          <w:iCs/>
        </w:rPr>
        <w:t xml:space="preserve">Nature Electronics</w:t>
      </w:r>
      <w:r>
        <w:t xml:space="preserve">, 2022, 5(7): 460–468.</w:t>
      </w:r>
      <w:r>
        <w:t xml:space="preserve"> </w:t>
      </w:r>
      <w:hyperlink r:id="rId148">
        <w:r>
          <w:rPr>
            <w:rStyle w:val="Hyperlink"/>
          </w:rPr>
          <w:t xml:space="preserve">doi:10.1038/s41928-022-00774-2</w:t>
        </w:r>
      </w:hyperlink>
    </w:p>
  </w:footnote>
  <w:footnote w:id="149">
    <w:p>
      <w:pPr>
        <w:pStyle w:val="FootnoteText"/>
      </w:pPr>
      <w:r>
        <w:rPr>
          <w:rStyle w:val="FootnoteReference"/>
        </w:rPr>
        <w:footnoteRef/>
      </w:r>
      <w:r>
        <w:t xml:space="preserve"> </w:t>
      </w:r>
      <w:r>
        <w:t xml:space="preserve">Huang P, et al. SOT-MRAM-enabled probabilistic binary neural networks for noise-tolerant and fast training.</w:t>
      </w:r>
      <w:r>
        <w:t xml:space="preserve"> </w:t>
      </w:r>
      <w:hyperlink r:id="rId150">
        <w:r>
          <w:rPr>
            <w:rStyle w:val="Hyperlink"/>
          </w:rPr>
          <w:t xml:space="preserve">arXiv:2309.07789</w:t>
        </w:r>
      </w:hyperlink>
      <w:r>
        <w:t xml:space="preserve">, 2023.</w:t>
      </w:r>
    </w:p>
  </w:footnote>
  <w:footnote w:id="151">
    <w:p>
      <w:pPr>
        <w:pStyle w:val="FootnoteText"/>
      </w:pPr>
      <w:r>
        <w:rPr>
          <w:rStyle w:val="FootnoteReference"/>
        </w:rPr>
        <w:footnoteRef/>
      </w:r>
      <w:r>
        <w:t xml:space="preserve"> </w:t>
      </w:r>
      <w:r>
        <w:t xml:space="preserve">Gu Y, Huang P, Chen T, et al. A noise-tolerant, resource-saving probabilistic binary neural network implemented by the SOT-MRAM compute-in-memory system.</w:t>
      </w:r>
      <w:r>
        <w:t xml:space="preserve"> </w:t>
      </w:r>
      <w:hyperlink r:id="rId152">
        <w:r>
          <w:rPr>
            <w:rStyle w:val="Hyperlink"/>
          </w:rPr>
          <w:t xml:space="preserve">arXiv:2403.19374</w:t>
        </w:r>
      </w:hyperlink>
      <w:r>
        <w:t xml:space="preserve">, 2024.</w:t>
      </w:r>
    </w:p>
  </w:footnote>
  <w:footnote w:id="153">
    <w:p>
      <w:pPr>
        <w:pStyle w:val="FootnoteText"/>
      </w:pPr>
      <w:r>
        <w:rPr>
          <w:rStyle w:val="FootnoteReference"/>
        </w:rPr>
        <w:footnoteRef/>
      </w:r>
      <w:r>
        <w:t xml:space="preserve"> </w:t>
      </w:r>
      <w:r>
        <w:t xml:space="preserve">Jaeger H, Haas H. Harnessing nonlinearity: predicting chaotic systems and saving energy in wireless communication.</w:t>
      </w:r>
      <w:r>
        <w:t xml:space="preserve"> </w:t>
      </w:r>
      <w:r>
        <w:rPr>
          <w:i/>
          <w:iCs/>
        </w:rPr>
        <w:t xml:space="preserve">Science</w:t>
      </w:r>
      <w:r>
        <w:t xml:space="preserve">, 2004, 304(5667): 78–80.</w:t>
      </w:r>
      <w:r>
        <w:t xml:space="preserve"> </w:t>
      </w:r>
      <w:hyperlink r:id="rId154">
        <w:r>
          <w:rPr>
            <w:rStyle w:val="Hyperlink"/>
          </w:rPr>
          <w:t xml:space="preserve">doi:10.1126/science.1091277</w:t>
        </w:r>
      </w:hyperlink>
    </w:p>
  </w:footnote>
  <w:footnote w:id="155">
    <w:p>
      <w:pPr>
        <w:pStyle w:val="FootnoteText"/>
      </w:pPr>
      <w:r>
        <w:rPr>
          <w:rStyle w:val="FootnoteReference"/>
        </w:rPr>
        <w:footnoteRef/>
      </w:r>
      <w:r>
        <w:t xml:space="preserve"> </w:t>
      </w:r>
      <w:r>
        <w:t xml:space="preserve">Maass W, Natschläger T, Markram H. Real-time computing without stable states: a new framework for neural computation based on perturbations.</w:t>
      </w:r>
      <w:r>
        <w:t xml:space="preserve"> </w:t>
      </w:r>
      <w:r>
        <w:rPr>
          <w:i/>
          <w:iCs/>
        </w:rPr>
        <w:t xml:space="preserve">Neural Computation</w:t>
      </w:r>
      <w:r>
        <w:t xml:space="preserve">, 2002, 14(11): 2531–2560.</w:t>
      </w:r>
      <w:r>
        <w:t xml:space="preserve"> </w:t>
      </w:r>
      <w:hyperlink r:id="rId156">
        <w:r>
          <w:rPr>
            <w:rStyle w:val="Hyperlink"/>
          </w:rPr>
          <w:t xml:space="preserve">doi:10.1162/089976602760407955</w:t>
        </w:r>
      </w:hyperlink>
    </w:p>
  </w:footnote>
  <w:footnote w:id="157">
    <w:p>
      <w:pPr>
        <w:pStyle w:val="FootnoteText"/>
      </w:pPr>
      <w:r>
        <w:rPr>
          <w:rStyle w:val="FootnoteReference"/>
        </w:rPr>
        <w:footnoteRef/>
      </w:r>
      <w:r>
        <w:t xml:space="preserve"> </w:t>
      </w:r>
      <w:r>
        <w:t xml:space="preserve">Appeltant L, Soriano M C, Van der Sande G, Danckaert J, Massar S, Dambre J, Schrauwen B, Mirasso C R, Fischer I. Information processing using a single dynamical node as complex system.</w:t>
      </w:r>
      <w:r>
        <w:t xml:space="preserve"> </w:t>
      </w:r>
      <w:r>
        <w:rPr>
          <w:i/>
          <w:iCs/>
        </w:rPr>
        <w:t xml:space="preserve">Nature Communications</w:t>
      </w:r>
      <w:r>
        <w:t xml:space="preserve">, 2011, 2: 468.</w:t>
      </w:r>
      <w:r>
        <w:t xml:space="preserve"> </w:t>
      </w:r>
      <w:hyperlink r:id="rId138">
        <w:r>
          <w:rPr>
            <w:rStyle w:val="Hyperlink"/>
          </w:rPr>
          <w:t xml:space="preserve">doi:10.1038/ncomms1476</w:t>
        </w:r>
      </w:hyperlink>
    </w:p>
  </w:footnote>
  <w:footnote w:id="158">
    <w:p>
      <w:pPr>
        <w:pStyle w:val="FootnoteText"/>
      </w:pPr>
      <w:r>
        <w:rPr>
          <w:rStyle w:val="FootnoteReference"/>
        </w:rPr>
        <w:footnoteRef/>
      </w:r>
      <w:r>
        <w:t xml:space="preserve"> </w:t>
      </w:r>
      <w:r>
        <w:t xml:space="preserve">Tanaka G, Yamane T, Héroux J B, Nakane R, Kanazawa N, Takeda S, Numata H, Nakano D, Hirose A. Recent advances in physical reservoir computing: a review.</w:t>
      </w:r>
      <w:r>
        <w:t xml:space="preserve"> </w:t>
      </w:r>
      <w:r>
        <w:rPr>
          <w:i/>
          <w:iCs/>
        </w:rPr>
        <w:t xml:space="preserve">Neural Networks</w:t>
      </w:r>
      <w:r>
        <w:t xml:space="preserve">, 2019, 115: 100–123.</w:t>
      </w:r>
      <w:r>
        <w:t xml:space="preserve"> </w:t>
      </w:r>
      <w:hyperlink r:id="rId159">
        <w:r>
          <w:rPr>
            <w:rStyle w:val="Hyperlink"/>
          </w:rPr>
          <w:t xml:space="preserve">doi:10.1016/j.neunet.2019.03.005</w:t>
        </w:r>
      </w:hyperlink>
    </w:p>
  </w:footnote>
  <w:footnote w:id="160">
    <w:p>
      <w:pPr>
        <w:pStyle w:val="FootnoteText"/>
      </w:pPr>
      <w:r>
        <w:rPr>
          <w:rStyle w:val="FootnoteReference"/>
        </w:rPr>
        <w:footnoteRef/>
      </w:r>
      <w:r>
        <w:t xml:space="preserve"> </w:t>
      </w:r>
      <w:r>
        <w:t xml:space="preserve">Nakajima K. Physical reservoir computing—an introductory perspective.</w:t>
      </w:r>
      <w:r>
        <w:t xml:space="preserve"> </w:t>
      </w:r>
      <w:r>
        <w:rPr>
          <w:i/>
          <w:iCs/>
        </w:rPr>
        <w:t xml:space="preserve">Japanese Journal of Applied Physics</w:t>
      </w:r>
      <w:r>
        <w:t xml:space="preserve">, 2020, 59(6): 060501.</w:t>
      </w:r>
      <w:r>
        <w:t xml:space="preserve"> </w:t>
      </w:r>
      <w:hyperlink r:id="rId161">
        <w:r>
          <w:rPr>
            <w:rStyle w:val="Hyperlink"/>
          </w:rPr>
          <w:t xml:space="preserve">doi:10.35848/1347-4065/ab8d4f</w:t>
        </w:r>
      </w:hyperlink>
    </w:p>
  </w:footnote>
  <w:footnote w:id="162">
    <w:p>
      <w:pPr>
        <w:pStyle w:val="FootnoteText"/>
      </w:pPr>
      <w:r>
        <w:rPr>
          <w:rStyle w:val="FootnoteReference"/>
        </w:rPr>
        <w:footnoteRef/>
      </w:r>
      <w:r>
        <w:t xml:space="preserve"> </w:t>
      </w:r>
      <w:r>
        <w:t xml:space="preserve">Torrejon J, Riou M, Araujo F A, Tsunegi S, Khalsa G, Querlioz D, Bortolotti P, Cros V, Yakushiji K, Fukushima A, Kubota H, Yuasa S, Stiles M D, Grollier J. Neuromorphic computing with nanoscale spintronic oscillators.</w:t>
      </w:r>
      <w:r>
        <w:t xml:space="preserve"> </w:t>
      </w:r>
      <w:r>
        <w:rPr>
          <w:i/>
          <w:iCs/>
        </w:rPr>
        <w:t xml:space="preserve">Nature</w:t>
      </w:r>
      <w:r>
        <w:t xml:space="preserve">, 2017, 547(7664): 428–431.</w:t>
      </w:r>
      <w:r>
        <w:t xml:space="preserve"> </w:t>
      </w:r>
      <w:hyperlink r:id="rId163">
        <w:r>
          <w:rPr>
            <w:rStyle w:val="Hyperlink"/>
          </w:rPr>
          <w:t xml:space="preserve">doi:10.1038/nature23011</w:t>
        </w:r>
      </w:hyperlink>
    </w:p>
  </w:footnote>
  <w:footnote w:id="164">
    <w:p>
      <w:pPr>
        <w:pStyle w:val="FootnoteText"/>
      </w:pPr>
      <w:r>
        <w:rPr>
          <w:rStyle w:val="FootnoteReference"/>
        </w:rPr>
        <w:footnoteRef/>
      </w:r>
      <w:r>
        <w:t xml:space="preserve"> </w:t>
      </w:r>
      <w:r>
        <w:t xml:space="preserve">Grollier J, Querlioz D, Camsari K Y, Everschor-Sitte K, Fukami S, Stiles M D. Neuromorphic spintronics.</w:t>
      </w:r>
      <w:r>
        <w:t xml:space="preserve"> </w:t>
      </w:r>
      <w:r>
        <w:rPr>
          <w:i/>
          <w:iCs/>
        </w:rPr>
        <w:t xml:space="preserve">Nature Electronics</w:t>
      </w:r>
      <w:r>
        <w:t xml:space="preserve">, 2020, 3(7): 360–370.</w:t>
      </w:r>
      <w:r>
        <w:t xml:space="preserve"> </w:t>
      </w:r>
      <w:hyperlink r:id="rId165">
        <w:r>
          <w:rPr>
            <w:rStyle w:val="Hyperlink"/>
          </w:rPr>
          <w:t xml:space="preserve">doi:10.1038/s41928-019-0360-9</w:t>
        </w:r>
      </w:hyperlink>
    </w:p>
  </w:footnote>
  <w:footnote w:id="166">
    <w:p>
      <w:pPr>
        <w:pStyle w:val="FootnoteText"/>
      </w:pPr>
      <w:r>
        <w:rPr>
          <w:rStyle w:val="FootnoteReference"/>
        </w:rPr>
        <w:footnoteRef/>
      </w:r>
      <w:r>
        <w:t xml:space="preserve"> </w:t>
      </w:r>
      <w:r>
        <w:t xml:space="preserve">Sidi El Valli A, Tsao M, Chen D, Kent A D. Tunable random telegraph noise in stable perpendicular magnetic tunnel junctions for unconventional computing.</w:t>
      </w:r>
      <w:r>
        <w:t xml:space="preserve"> </w:t>
      </w:r>
      <w:hyperlink r:id="rId167">
        <w:r>
          <w:rPr>
            <w:rStyle w:val="Hyperlink"/>
          </w:rPr>
          <w:t xml:space="preserve">arXiv:2509.13458</w:t>
        </w:r>
      </w:hyperlink>
      <w:r>
        <w:t xml:space="preserve">, 2025.</w:t>
      </w:r>
    </w:p>
  </w:footnote>
  <w:footnote w:id="170">
    <w:p>
      <w:pPr>
        <w:pStyle w:val="FootnoteText"/>
      </w:pPr>
      <w:r>
        <w:rPr>
          <w:rStyle w:val="FootnoteReference"/>
        </w:rPr>
        <w:footnoteRef/>
      </w:r>
      <w:r>
        <w:t xml:space="preserve"> </w:t>
      </w:r>
      <w:r>
        <w:t xml:space="preserve">Shafiee A, Nag A, Muralimanohar N, Balasubramonian R, Strachan J P, Hu M, Williams R S, Srikumar V. ISAAC: A convolutional neural network accelerator with in-situ analog arithmetic in crossbars.</w:t>
      </w:r>
      <w:r>
        <w:t xml:space="preserve"> </w:t>
      </w:r>
      <w:r>
        <w:rPr>
          <w:i/>
          <w:iCs/>
        </w:rPr>
        <w:t xml:space="preserve">Proc. 43rd ACM/IEEE International Symposium on Computer Architecture (ISCA)</w:t>
      </w:r>
      <w:r>
        <w:t xml:space="preserve">, 2016: 14–26.</w:t>
      </w:r>
      <w:r>
        <w:t xml:space="preserve"> </w:t>
      </w:r>
      <w:hyperlink r:id="rId35">
        <w:r>
          <w:rPr>
            <w:rStyle w:val="Hyperlink"/>
          </w:rPr>
          <w:t xml:space="preserve">doi:10.1109/ISCA.2016.12</w:t>
        </w:r>
      </w:hyperlink>
    </w:p>
  </w:footnote>
  <w:footnote w:id="174">
    <w:p>
      <w:pPr>
        <w:pStyle w:val="FootnoteText"/>
      </w:pPr>
      <w:r>
        <w:rPr>
          <w:rStyle w:val="FootnoteReference"/>
        </w:rPr>
        <w:footnoteRef/>
      </w:r>
      <w:r>
        <w:t xml:space="preserve"> </w:t>
      </w:r>
      <w:r>
        <w:t xml:space="preserve">Saxena U, Chakraborty I, Roy K. Towards ADC-less compute-in-memory accelerators for energy efficient deep learning.</w:t>
      </w:r>
      <w:r>
        <w:t xml:space="preserve"> </w:t>
      </w:r>
      <w:r>
        <w:rPr>
          <w:i/>
          <w:iCs/>
        </w:rPr>
        <w:t xml:space="preserve">Proc. Design, Automation &amp; Test in Europe Conference (DATE)</w:t>
      </w:r>
      <w:r>
        <w:t xml:space="preserve">, 2022: 624–627.</w:t>
      </w:r>
      <w:r>
        <w:t xml:space="preserve"> </w:t>
      </w:r>
      <w:hyperlink r:id="rId175">
        <w:r>
          <w:rPr>
            <w:rStyle w:val="Hyperlink"/>
          </w:rPr>
          <w:t xml:space="preserve">doi:10.23919/DATE54114.2022.9774573</w:t>
        </w:r>
      </w:hyperlink>
    </w:p>
  </w:footnote>
  <w:footnote w:id="176">
    <w:p>
      <w:pPr>
        <w:pStyle w:val="FootnoteText"/>
      </w:pPr>
      <w:r>
        <w:rPr>
          <w:rStyle w:val="FootnoteReference"/>
        </w:rPr>
        <w:footnoteRef/>
      </w:r>
      <w:r>
        <w:t xml:space="preserve"> </w:t>
      </w:r>
      <w:r>
        <w:t xml:space="preserve">Hayakawa K, Kanai S, Funatsu T, Igarashi J, Jinnai B, Borders W A, Ohno H, Fukami S. Nanosecond random telegraph noise in in-plane magnetic tunnel junctions.</w:t>
      </w:r>
      <w:r>
        <w:t xml:space="preserve"> </w:t>
      </w:r>
      <w:r>
        <w:rPr>
          <w:i/>
          <w:iCs/>
        </w:rPr>
        <w:t xml:space="preserve">Physical Review Letters</w:t>
      </w:r>
      <w:r>
        <w:t xml:space="preserve">, 2021, 126(11): 117202.</w:t>
      </w:r>
      <w:r>
        <w:t xml:space="preserve"> </w:t>
      </w:r>
      <w:hyperlink r:id="rId111">
        <w:r>
          <w:rPr>
            <w:rStyle w:val="Hyperlink"/>
          </w:rPr>
          <w:t xml:space="preserve">doi:10.1103/PhysRevLett.126.117202</w:t>
        </w:r>
      </w:hyperlink>
    </w:p>
  </w:footnote>
  <w:footnote w:id="177">
    <w:p>
      <w:pPr>
        <w:pStyle w:val="FootnoteText"/>
      </w:pPr>
      <w:r>
        <w:rPr>
          <w:rStyle w:val="FootnoteReference"/>
        </w:rPr>
        <w:footnoteRef/>
      </w:r>
      <w:r>
        <w:t xml:space="preserve"> </w:t>
      </w:r>
      <w:r>
        <w:t xml:space="preserve">Safranski C, Kaiser J, Trouilloud P, Hashemi P, Hu G, Sun J Z. Demonstration of nanosecond operation in stochastic magnetic tunnel junctions.</w:t>
      </w:r>
      <w:r>
        <w:t xml:space="preserve"> </w:t>
      </w:r>
      <w:r>
        <w:rPr>
          <w:i/>
          <w:iCs/>
        </w:rPr>
        <w:t xml:space="preserve">Nano Letters</w:t>
      </w:r>
      <w:r>
        <w:t xml:space="preserve">, 2021, 21(5): 2040–2045.</w:t>
      </w:r>
      <w:r>
        <w:t xml:space="preserve"> </w:t>
      </w:r>
      <w:hyperlink r:id="rId113">
        <w:r>
          <w:rPr>
            <w:rStyle w:val="Hyperlink"/>
          </w:rPr>
          <w:t xml:space="preserve">doi:10.1021/acs.nanolett.0c04652</w:t>
        </w:r>
      </w:hyperlink>
    </w:p>
  </w:footnote>
  <w:footnote w:id="179">
    <w:p>
      <w:pPr>
        <w:pStyle w:val="FootnoteText"/>
      </w:pPr>
      <w:r>
        <w:rPr>
          <w:rStyle w:val="FootnoteReference"/>
        </w:rPr>
        <w:footnoteRef/>
      </w:r>
      <w:r>
        <w:t xml:space="preserve"> </w:t>
      </w:r>
      <w:r>
        <w:t xml:space="preserve">Camsari K Y, Sutton B M, Datta S. p-bits for probabilistic spin logic.</w:t>
      </w:r>
      <w:r>
        <w:t xml:space="preserve"> </w:t>
      </w:r>
      <w:r>
        <w:rPr>
          <w:i/>
          <w:iCs/>
        </w:rPr>
        <w:t xml:space="preserve">Applied Physics Reviews</w:t>
      </w:r>
      <w:r>
        <w:t xml:space="preserve">, 2019, 6(1): 011305.</w:t>
      </w:r>
      <w:r>
        <w:t xml:space="preserve"> </w:t>
      </w:r>
      <w:hyperlink r:id="rId109">
        <w:r>
          <w:rPr>
            <w:rStyle w:val="Hyperlink"/>
          </w:rPr>
          <w:t xml:space="preserve">doi:10.1063/1.5055860</w:t>
        </w:r>
      </w:hyperlink>
    </w:p>
  </w:footnote>
  <w:footnote w:id="182">
    <w:p>
      <w:pPr>
        <w:pStyle w:val="FootnoteText"/>
      </w:pPr>
      <w:r>
        <w:rPr>
          <w:rStyle w:val="FootnoteReference"/>
        </w:rPr>
        <w:footnoteRef/>
      </w:r>
      <w:r>
        <w:t xml:space="preserve"> </w:t>
      </w:r>
      <w:r>
        <w:t xml:space="preserve">Read J, Lee M Y, Huang W H, Luo Y C, Lu A, Yu S. NeuroSim V1.5: Improved software backbone for benchmarking compute-in-memory accelerators with device and circuit-level non-idealities.</w:t>
      </w:r>
      <w:r>
        <w:t xml:space="preserve"> </w:t>
      </w:r>
      <w:hyperlink r:id="rId183">
        <w:r>
          <w:rPr>
            <w:rStyle w:val="Hyperlink"/>
          </w:rPr>
          <w:t xml:space="preserve">arXiv:2505.02314</w:t>
        </w:r>
      </w:hyperlink>
      <w:r>
        <w:t xml:space="preserve">, 2025.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98" Target="media/rId98.png" /><Relationship Type="http://schemas.openxmlformats.org/officeDocument/2006/relationships/image" Id="rId171" Target="media/rId171.png" /><Relationship Type="http://schemas.openxmlformats.org/officeDocument/2006/relationships/hyperlink" Id="rId93" Target="https://arxiv.org/abs/1308.3432" TargetMode="External" /><Relationship Type="http://schemas.openxmlformats.org/officeDocument/2006/relationships/hyperlink" Id="rId89" Target="https://arxiv.org/abs/1511.00363" TargetMode="External" /><Relationship Type="http://schemas.openxmlformats.org/officeDocument/2006/relationships/hyperlink" Id="rId95" Target="https://arxiv.org/abs/1710.07739" TargetMode="External" /><Relationship Type="http://schemas.openxmlformats.org/officeDocument/2006/relationships/hyperlink" Id="rId97" Target="https://arxiv.org/abs/1809.03368" TargetMode="External" /><Relationship Type="http://schemas.openxmlformats.org/officeDocument/2006/relationships/hyperlink" Id="rId39" Target="https://arxiv.org/abs/2003.04821" TargetMode="External" /><Relationship Type="http://schemas.openxmlformats.org/officeDocument/2006/relationships/hyperlink" Id="rId41" Target="https://arxiv.org/abs/2007.10319" TargetMode="External" /><Relationship Type="http://schemas.openxmlformats.org/officeDocument/2006/relationships/hyperlink" Id="rId150" Target="https://arxiv.org/abs/2309.07789" TargetMode="External" /><Relationship Type="http://schemas.openxmlformats.org/officeDocument/2006/relationships/hyperlink" Id="rId152" Target="https://arxiv.org/abs/2403.19374" TargetMode="External" /><Relationship Type="http://schemas.openxmlformats.org/officeDocument/2006/relationships/hyperlink" Id="rId43" Target="https://arxiv.org/abs/2405.05286" TargetMode="External" /><Relationship Type="http://schemas.openxmlformats.org/officeDocument/2006/relationships/hyperlink" Id="rId183" Target="https://arxiv.org/abs/2505.02314" TargetMode="External" /><Relationship Type="http://schemas.openxmlformats.org/officeDocument/2006/relationships/hyperlink" Id="rId167" Target="https://arxiv.org/abs/2509.13458" TargetMode="External" /><Relationship Type="http://schemas.openxmlformats.org/officeDocument/2006/relationships/hyperlink" Id="rId27" Target="https://doi.org/10.1002/aidi.202500143" TargetMode="External" /><Relationship Type="http://schemas.openxmlformats.org/officeDocument/2006/relationships/hyperlink" Id="rId91" Target="https://doi.org/10.1007/978-3-319-46493-0_32" TargetMode="External" /><Relationship Type="http://schemas.openxmlformats.org/officeDocument/2006/relationships/hyperlink" Id="rId73" Target="https://doi.org/10.1007/BF00339943" TargetMode="External" /><Relationship Type="http://schemas.openxmlformats.org/officeDocument/2006/relationships/hyperlink" Id="rId87" Target="https://doi.org/10.1016/0004-3702(92)90065-6" TargetMode="External" /><Relationship Type="http://schemas.openxmlformats.org/officeDocument/2006/relationships/hyperlink" Id="rId159" Target="https://doi.org/10.1016/j.neunet.2019.03.005" TargetMode="External" /><Relationship Type="http://schemas.openxmlformats.org/officeDocument/2006/relationships/hyperlink" Id="rId113" Target="https://doi.org/10.1021/acs.nanolett.0c04652" TargetMode="External" /><Relationship Type="http://schemas.openxmlformats.org/officeDocument/2006/relationships/hyperlink" Id="rId163" Target="https://doi.org/10.1038/nature23011" TargetMode="External" /><Relationship Type="http://schemas.openxmlformats.org/officeDocument/2006/relationships/hyperlink" Id="rId138" Target="https://doi.org/10.1038/ncomms1476" TargetMode="External" /><Relationship Type="http://schemas.openxmlformats.org/officeDocument/2006/relationships/hyperlink" Id="rId133" Target="https://doi.org/10.1038/nmat2804" TargetMode="External" /><Relationship Type="http://schemas.openxmlformats.org/officeDocument/2006/relationships/hyperlink" Id="rId45" Target="https://doi.org/10.1038/s41467-023-43317-9" TargetMode="External" /><Relationship Type="http://schemas.openxmlformats.org/officeDocument/2006/relationships/hyperlink" Id="rId51" Target="https://doi.org/10.1038/s41467-024-46645-6" TargetMode="External" /><Relationship Type="http://schemas.openxmlformats.org/officeDocument/2006/relationships/hyperlink" Id="rId127" Target="https://doi.org/10.1038/s41467-024-48152-0" TargetMode="External" /><Relationship Type="http://schemas.openxmlformats.org/officeDocument/2006/relationships/hyperlink" Id="rId68" Target="https://doi.org/10.1038/s41586-019-1557-9" TargetMode="External" /><Relationship Type="http://schemas.openxmlformats.org/officeDocument/2006/relationships/hyperlink" Id="rId21" Target="https://doi.org/10.1038/s41586-022-04992-8" TargetMode="External" /><Relationship Type="http://schemas.openxmlformats.org/officeDocument/2006/relationships/hyperlink" Id="rId165" Target="https://doi.org/10.1038/s41928-019-0360-9" TargetMode="External" /><Relationship Type="http://schemas.openxmlformats.org/officeDocument/2006/relationships/hyperlink" Id="rId148" Target="https://doi.org/10.1038/s41928-022-00774-2" TargetMode="External" /><Relationship Type="http://schemas.openxmlformats.org/officeDocument/2006/relationships/hyperlink" Id="rId109" Target="https://doi.org/10.1063/1.5055860" TargetMode="External" /><Relationship Type="http://schemas.openxmlformats.org/officeDocument/2006/relationships/hyperlink" Id="rId71" Target="https://doi.org/10.1073/pnas.79.8.2554" TargetMode="External" /><Relationship Type="http://schemas.openxmlformats.org/officeDocument/2006/relationships/hyperlink" Id="rId107" Target="https://doi.org/10.1103/PhysRevApplied.8.054045" TargetMode="External" /><Relationship Type="http://schemas.openxmlformats.org/officeDocument/2006/relationships/hyperlink" Id="rId111" Target="https://doi.org/10.1103/PhysRevLett.126.117202" TargetMode="External" /><Relationship Type="http://schemas.openxmlformats.org/officeDocument/2006/relationships/hyperlink" Id="rId122" Target="https://doi.org/10.1103/PhysRevLett.92.088302" TargetMode="External" /><Relationship Type="http://schemas.openxmlformats.org/officeDocument/2006/relationships/hyperlink" Id="rId145" Target="https://doi.org/10.1109/ACCESS.2024.3476417" TargetMode="External" /><Relationship Type="http://schemas.openxmlformats.org/officeDocument/2006/relationships/hyperlink" Id="rId143" Target="https://doi.org/10.1109/ICCD.2017.107" TargetMode="External" /><Relationship Type="http://schemas.openxmlformats.org/officeDocument/2006/relationships/hyperlink" Id="rId135" Target="https://doi.org/10.1109/IEDM19573.2019.8993443" TargetMode="External" /><Relationship Type="http://schemas.openxmlformats.org/officeDocument/2006/relationships/hyperlink" Id="rId31" Target="https://doi.org/10.1109/IEDM19573.2019.8993551" TargetMode="External" /><Relationship Type="http://schemas.openxmlformats.org/officeDocument/2006/relationships/hyperlink" Id="rId116" Target="https://doi.org/10.1109/IEDM45741.2023.10413686" TargetMode="External" /><Relationship Type="http://schemas.openxmlformats.org/officeDocument/2006/relationships/hyperlink" Id="rId35" Target="https://doi.org/10.1109/ISCA.2016.12" TargetMode="External" /><Relationship Type="http://schemas.openxmlformats.org/officeDocument/2006/relationships/hyperlink" Id="rId25" Target="https://doi.org/10.1109/ISCAS48785.2022.9937307" TargetMode="External" /><Relationship Type="http://schemas.openxmlformats.org/officeDocument/2006/relationships/hyperlink" Id="rId15" Target="https://doi.org/10.1109/ISSCC.2014.6757323" TargetMode="External" /><Relationship Type="http://schemas.openxmlformats.org/officeDocument/2006/relationships/hyperlink" Id="rId141" Target="https://doi.org/10.1109/JETCAS.2022.3169759" TargetMode="External" /><Relationship Type="http://schemas.openxmlformats.org/officeDocument/2006/relationships/hyperlink" Id="rId47" Target="https://doi.org/10.1109/JXCDC.2022.3227062" TargetMode="External" /><Relationship Type="http://schemas.openxmlformats.org/officeDocument/2006/relationships/hyperlink" Id="rId57" Target="https://doi.org/10.1109/JXCDC.2023.3256981" TargetMode="External" /><Relationship Type="http://schemas.openxmlformats.org/officeDocument/2006/relationships/hyperlink" Id="rId61" Target="https://doi.org/10.1109/LCA.2015.2412553" TargetMode="External" /><Relationship Type="http://schemas.openxmlformats.org/officeDocument/2006/relationships/hyperlink" Id="rId59" Target="https://doi.org/10.1109/LED.2017.2768321" TargetMode="External" /><Relationship Type="http://schemas.openxmlformats.org/officeDocument/2006/relationships/hyperlink" Id="rId10" Target="https://doi.org/10.1109/MM.2024.3373763" TargetMode="External" /><Relationship Type="http://schemas.openxmlformats.org/officeDocument/2006/relationships/hyperlink" Id="rId29" Target="https://doi.org/10.1109/PROC.1983.12619" TargetMode="External" /><Relationship Type="http://schemas.openxmlformats.org/officeDocument/2006/relationships/hyperlink" Id="rId49" Target="https://doi.org/10.1109/TC.2010.202" TargetMode="External" /><Relationship Type="http://schemas.openxmlformats.org/officeDocument/2006/relationships/hyperlink" Id="rId63" Target="https://doi.org/10.1109/TCAD.2017.2778107" TargetMode="External" /><Relationship Type="http://schemas.openxmlformats.org/officeDocument/2006/relationships/hyperlink" Id="rId23" Target="https://doi.org/10.1109/TED.2022.3141987" TargetMode="External" /><Relationship Type="http://schemas.openxmlformats.org/officeDocument/2006/relationships/hyperlink" Id="rId124" Target="https://doi.org/10.1109/TMAG.2012.2209122" TargetMode="External" /><Relationship Type="http://schemas.openxmlformats.org/officeDocument/2006/relationships/hyperlink" Id="rId19" Target="https://doi.org/10.1109/TNANO.2023.3293026" TargetMode="External" /><Relationship Type="http://schemas.openxmlformats.org/officeDocument/2006/relationships/hyperlink" Id="rId154" Target="https://doi.org/10.1126/science.1091277" TargetMode="External" /><Relationship Type="http://schemas.openxmlformats.org/officeDocument/2006/relationships/hyperlink" Id="rId75" Target="https://doi.org/10.1126/science.220.4598.671" TargetMode="External" /><Relationship Type="http://schemas.openxmlformats.org/officeDocument/2006/relationships/hyperlink" Id="rId55" Target="https://doi.org/10.1145/2465787.2465794" TargetMode="External" /><Relationship Type="http://schemas.openxmlformats.org/officeDocument/2006/relationships/hyperlink" Id="rId37" Target="https://doi.org/10.1145/3658617.3697572" TargetMode="External" /><Relationship Type="http://schemas.openxmlformats.org/officeDocument/2006/relationships/hyperlink" Id="rId81" Target="https://doi.org/10.1162/089976602760128018" TargetMode="External" /><Relationship Type="http://schemas.openxmlformats.org/officeDocument/2006/relationships/hyperlink" Id="rId156" Target="https://doi.org/10.1162/089976602760407955" TargetMode="External" /><Relationship Type="http://schemas.openxmlformats.org/officeDocument/2006/relationships/hyperlink" Id="rId85" Target="https://doi.org/10.1162/NECO_a_00311" TargetMode="External" /><Relationship Type="http://schemas.openxmlformats.org/officeDocument/2006/relationships/hyperlink" Id="rId83" Target="https://doi.org/10.1162/neco.2006.18.7.1527" TargetMode="External" /><Relationship Type="http://schemas.openxmlformats.org/officeDocument/2006/relationships/hyperlink" Id="rId77" Target="https://doi.org/10.1207/s15516709cog0901_7" TargetMode="External" /><Relationship Type="http://schemas.openxmlformats.org/officeDocument/2006/relationships/hyperlink" Id="rId17" Target="https://doi.org/10.2200/S01004ED1V01Y202004CAC050" TargetMode="External" /><Relationship Type="http://schemas.openxmlformats.org/officeDocument/2006/relationships/hyperlink" Id="rId175" Target="https://doi.org/10.23919/DATE54114.2022.9774573" TargetMode="External" /><Relationship Type="http://schemas.openxmlformats.org/officeDocument/2006/relationships/hyperlink" Id="rId33" Target="https://doi.org/10.23919/DATE58400.2024.10546805" TargetMode="External" /><Relationship Type="http://schemas.openxmlformats.org/officeDocument/2006/relationships/hyperlink" Id="rId104" Target="https://doi.org/10.3389/fnins.2018.00210" TargetMode="External" /><Relationship Type="http://schemas.openxmlformats.org/officeDocument/2006/relationships/hyperlink" Id="rId66" Target="https://doi.org/10.3389/fphy.2014.00005" TargetMode="External" /><Relationship Type="http://schemas.openxmlformats.org/officeDocument/2006/relationships/hyperlink" Id="rId130" Target="https://doi.org/10.3390/electronics15081622" TargetMode="External" /><Relationship Type="http://schemas.openxmlformats.org/officeDocument/2006/relationships/hyperlink" Id="rId161" Target="https://doi.org/10.35848/1347-4065/ab8d4f" TargetMode="External" /><Relationship Type="http://schemas.openxmlformats.org/officeDocument/2006/relationships/hyperlink" Id="rId79" Target="https://doi.org/10.7551/mitpress/5236.001.0001" TargetMode="External" /></Relationships>
</file>

<file path=word/_rels/footnotes.xml.rels><?xml version="1.0" encoding="UTF-8"?><Relationships xmlns="http://schemas.openxmlformats.org/package/2006/relationships"><Relationship Type="http://schemas.openxmlformats.org/officeDocument/2006/relationships/hyperlink" Id="rId93" Target="https://arxiv.org/abs/1308.3432" TargetMode="External" /><Relationship Type="http://schemas.openxmlformats.org/officeDocument/2006/relationships/hyperlink" Id="rId89" Target="https://arxiv.org/abs/1511.00363" TargetMode="External" /><Relationship Type="http://schemas.openxmlformats.org/officeDocument/2006/relationships/hyperlink" Id="rId95" Target="https://arxiv.org/abs/1710.07739" TargetMode="External" /><Relationship Type="http://schemas.openxmlformats.org/officeDocument/2006/relationships/hyperlink" Id="rId97" Target="https://arxiv.org/abs/1809.03368" TargetMode="External" /><Relationship Type="http://schemas.openxmlformats.org/officeDocument/2006/relationships/hyperlink" Id="rId39" Target="https://arxiv.org/abs/2003.04821" TargetMode="External" /><Relationship Type="http://schemas.openxmlformats.org/officeDocument/2006/relationships/hyperlink" Id="rId41" Target="https://arxiv.org/abs/2007.10319" TargetMode="External" /><Relationship Type="http://schemas.openxmlformats.org/officeDocument/2006/relationships/hyperlink" Id="rId150" Target="https://arxiv.org/abs/2309.07789" TargetMode="External" /><Relationship Type="http://schemas.openxmlformats.org/officeDocument/2006/relationships/hyperlink" Id="rId152" Target="https://arxiv.org/abs/2403.19374" TargetMode="External" /><Relationship Type="http://schemas.openxmlformats.org/officeDocument/2006/relationships/hyperlink" Id="rId43" Target="https://arxiv.org/abs/2405.05286" TargetMode="External" /><Relationship Type="http://schemas.openxmlformats.org/officeDocument/2006/relationships/hyperlink" Id="rId183" Target="https://arxiv.org/abs/2505.02314" TargetMode="External" /><Relationship Type="http://schemas.openxmlformats.org/officeDocument/2006/relationships/hyperlink" Id="rId167" Target="https://arxiv.org/abs/2509.13458" TargetMode="External" /><Relationship Type="http://schemas.openxmlformats.org/officeDocument/2006/relationships/hyperlink" Id="rId27" Target="https://doi.org/10.1002/aidi.202500143" TargetMode="External" /><Relationship Type="http://schemas.openxmlformats.org/officeDocument/2006/relationships/hyperlink" Id="rId91" Target="https://doi.org/10.1007/978-3-319-46493-0_32" TargetMode="External" /><Relationship Type="http://schemas.openxmlformats.org/officeDocument/2006/relationships/hyperlink" Id="rId73" Target="https://doi.org/10.1007/BF00339943" TargetMode="External" /><Relationship Type="http://schemas.openxmlformats.org/officeDocument/2006/relationships/hyperlink" Id="rId87" Target="https://doi.org/10.1016/0004-3702(92)90065-6" TargetMode="External" /><Relationship Type="http://schemas.openxmlformats.org/officeDocument/2006/relationships/hyperlink" Id="rId159" Target="https://doi.org/10.1016/j.neunet.2019.03.005" TargetMode="External" /><Relationship Type="http://schemas.openxmlformats.org/officeDocument/2006/relationships/hyperlink" Id="rId113" Target="https://doi.org/10.1021/acs.nanolett.0c04652" TargetMode="External" /><Relationship Type="http://schemas.openxmlformats.org/officeDocument/2006/relationships/hyperlink" Id="rId163" Target="https://doi.org/10.1038/nature23011" TargetMode="External" /><Relationship Type="http://schemas.openxmlformats.org/officeDocument/2006/relationships/hyperlink" Id="rId138" Target="https://doi.org/10.1038/ncomms1476" TargetMode="External" /><Relationship Type="http://schemas.openxmlformats.org/officeDocument/2006/relationships/hyperlink" Id="rId133" Target="https://doi.org/10.1038/nmat2804" TargetMode="External" /><Relationship Type="http://schemas.openxmlformats.org/officeDocument/2006/relationships/hyperlink" Id="rId45" Target="https://doi.org/10.1038/s41467-023-43317-9" TargetMode="External" /><Relationship Type="http://schemas.openxmlformats.org/officeDocument/2006/relationships/hyperlink" Id="rId51" Target="https://doi.org/10.1038/s41467-024-46645-6" TargetMode="External" /><Relationship Type="http://schemas.openxmlformats.org/officeDocument/2006/relationships/hyperlink" Id="rId127" Target="https://doi.org/10.1038/s41467-024-48152-0" TargetMode="External" /><Relationship Type="http://schemas.openxmlformats.org/officeDocument/2006/relationships/hyperlink" Id="rId68" Target="https://doi.org/10.1038/s41586-019-1557-9" TargetMode="External" /><Relationship Type="http://schemas.openxmlformats.org/officeDocument/2006/relationships/hyperlink" Id="rId21" Target="https://doi.org/10.1038/s41586-022-04992-8" TargetMode="External" /><Relationship Type="http://schemas.openxmlformats.org/officeDocument/2006/relationships/hyperlink" Id="rId165" Target="https://doi.org/10.1038/s41928-019-0360-9" TargetMode="External" /><Relationship Type="http://schemas.openxmlformats.org/officeDocument/2006/relationships/hyperlink" Id="rId148" Target="https://doi.org/10.1038/s41928-022-00774-2" TargetMode="External" /><Relationship Type="http://schemas.openxmlformats.org/officeDocument/2006/relationships/hyperlink" Id="rId109" Target="https://doi.org/10.1063/1.5055860" TargetMode="External" /><Relationship Type="http://schemas.openxmlformats.org/officeDocument/2006/relationships/hyperlink" Id="rId71" Target="https://doi.org/10.1073/pnas.79.8.2554" TargetMode="External" /><Relationship Type="http://schemas.openxmlformats.org/officeDocument/2006/relationships/hyperlink" Id="rId107" Target="https://doi.org/10.1103/PhysRevApplied.8.054045" TargetMode="External" /><Relationship Type="http://schemas.openxmlformats.org/officeDocument/2006/relationships/hyperlink" Id="rId111" Target="https://doi.org/10.1103/PhysRevLett.126.117202" TargetMode="External" /><Relationship Type="http://schemas.openxmlformats.org/officeDocument/2006/relationships/hyperlink" Id="rId122" Target="https://doi.org/10.1103/PhysRevLett.92.088302" TargetMode="External" /><Relationship Type="http://schemas.openxmlformats.org/officeDocument/2006/relationships/hyperlink" Id="rId145" Target="https://doi.org/10.1109/ACCESS.2024.3476417" TargetMode="External" /><Relationship Type="http://schemas.openxmlformats.org/officeDocument/2006/relationships/hyperlink" Id="rId143" Target="https://doi.org/10.1109/ICCD.2017.107" TargetMode="External" /><Relationship Type="http://schemas.openxmlformats.org/officeDocument/2006/relationships/hyperlink" Id="rId135" Target="https://doi.org/10.1109/IEDM19573.2019.8993443" TargetMode="External" /><Relationship Type="http://schemas.openxmlformats.org/officeDocument/2006/relationships/hyperlink" Id="rId31" Target="https://doi.org/10.1109/IEDM19573.2019.8993551" TargetMode="External" /><Relationship Type="http://schemas.openxmlformats.org/officeDocument/2006/relationships/hyperlink" Id="rId116" Target="https://doi.org/10.1109/IEDM45741.2023.10413686" TargetMode="External" /><Relationship Type="http://schemas.openxmlformats.org/officeDocument/2006/relationships/hyperlink" Id="rId35" Target="https://doi.org/10.1109/ISCA.2016.12" TargetMode="External" /><Relationship Type="http://schemas.openxmlformats.org/officeDocument/2006/relationships/hyperlink" Id="rId25" Target="https://doi.org/10.1109/ISCAS48785.2022.9937307" TargetMode="External" /><Relationship Type="http://schemas.openxmlformats.org/officeDocument/2006/relationships/hyperlink" Id="rId15" Target="https://doi.org/10.1109/ISSCC.2014.6757323" TargetMode="External" /><Relationship Type="http://schemas.openxmlformats.org/officeDocument/2006/relationships/hyperlink" Id="rId141" Target="https://doi.org/10.1109/JETCAS.2022.3169759" TargetMode="External" /><Relationship Type="http://schemas.openxmlformats.org/officeDocument/2006/relationships/hyperlink" Id="rId47" Target="https://doi.org/10.1109/JXCDC.2022.3227062" TargetMode="External" /><Relationship Type="http://schemas.openxmlformats.org/officeDocument/2006/relationships/hyperlink" Id="rId57" Target="https://doi.org/10.1109/JXCDC.2023.3256981" TargetMode="External" /><Relationship Type="http://schemas.openxmlformats.org/officeDocument/2006/relationships/hyperlink" Id="rId61" Target="https://doi.org/10.1109/LCA.2015.2412553" TargetMode="External" /><Relationship Type="http://schemas.openxmlformats.org/officeDocument/2006/relationships/hyperlink" Id="rId59" Target="https://doi.org/10.1109/LED.2017.2768321" TargetMode="External" /><Relationship Type="http://schemas.openxmlformats.org/officeDocument/2006/relationships/hyperlink" Id="rId10" Target="https://doi.org/10.1109/MM.2024.3373763" TargetMode="External" /><Relationship Type="http://schemas.openxmlformats.org/officeDocument/2006/relationships/hyperlink" Id="rId29" Target="https://doi.org/10.1109/PROC.1983.12619" TargetMode="External" /><Relationship Type="http://schemas.openxmlformats.org/officeDocument/2006/relationships/hyperlink" Id="rId49" Target="https://doi.org/10.1109/TC.2010.202" TargetMode="External" /><Relationship Type="http://schemas.openxmlformats.org/officeDocument/2006/relationships/hyperlink" Id="rId63" Target="https://doi.org/10.1109/TCAD.2017.2778107" TargetMode="External" /><Relationship Type="http://schemas.openxmlformats.org/officeDocument/2006/relationships/hyperlink" Id="rId23" Target="https://doi.org/10.1109/TED.2022.3141987" TargetMode="External" /><Relationship Type="http://schemas.openxmlformats.org/officeDocument/2006/relationships/hyperlink" Id="rId124" Target="https://doi.org/10.1109/TMAG.2012.2209122" TargetMode="External" /><Relationship Type="http://schemas.openxmlformats.org/officeDocument/2006/relationships/hyperlink" Id="rId19" Target="https://doi.org/10.1109/TNANO.2023.3293026" TargetMode="External" /><Relationship Type="http://schemas.openxmlformats.org/officeDocument/2006/relationships/hyperlink" Id="rId154" Target="https://doi.org/10.1126/science.1091277" TargetMode="External" /><Relationship Type="http://schemas.openxmlformats.org/officeDocument/2006/relationships/hyperlink" Id="rId75" Target="https://doi.org/10.1126/science.220.4598.671" TargetMode="External" /><Relationship Type="http://schemas.openxmlformats.org/officeDocument/2006/relationships/hyperlink" Id="rId55" Target="https://doi.org/10.1145/2465787.2465794" TargetMode="External" /><Relationship Type="http://schemas.openxmlformats.org/officeDocument/2006/relationships/hyperlink" Id="rId37" Target="https://doi.org/10.1145/3658617.3697572" TargetMode="External" /><Relationship Type="http://schemas.openxmlformats.org/officeDocument/2006/relationships/hyperlink" Id="rId81" Target="https://doi.org/10.1162/089976602760128018" TargetMode="External" /><Relationship Type="http://schemas.openxmlformats.org/officeDocument/2006/relationships/hyperlink" Id="rId156" Target="https://doi.org/10.1162/089976602760407955" TargetMode="External" /><Relationship Type="http://schemas.openxmlformats.org/officeDocument/2006/relationships/hyperlink" Id="rId85" Target="https://doi.org/10.1162/NECO_a_00311" TargetMode="External" /><Relationship Type="http://schemas.openxmlformats.org/officeDocument/2006/relationships/hyperlink" Id="rId83" Target="https://doi.org/10.1162/neco.2006.18.7.1527" TargetMode="External" /><Relationship Type="http://schemas.openxmlformats.org/officeDocument/2006/relationships/hyperlink" Id="rId77" Target="https://doi.org/10.1207/s15516709cog0901_7" TargetMode="External" /><Relationship Type="http://schemas.openxmlformats.org/officeDocument/2006/relationships/hyperlink" Id="rId17" Target="https://doi.org/10.2200/S01004ED1V01Y202004CAC050" TargetMode="External" /><Relationship Type="http://schemas.openxmlformats.org/officeDocument/2006/relationships/hyperlink" Id="rId175" Target="https://doi.org/10.23919/DATE54114.2022.9774573" TargetMode="External" /><Relationship Type="http://schemas.openxmlformats.org/officeDocument/2006/relationships/hyperlink" Id="rId33" Target="https://doi.org/10.23919/DATE58400.2024.10546805" TargetMode="External" /><Relationship Type="http://schemas.openxmlformats.org/officeDocument/2006/relationships/hyperlink" Id="rId104" Target="https://doi.org/10.3389/fnins.2018.00210" TargetMode="External" /><Relationship Type="http://schemas.openxmlformats.org/officeDocument/2006/relationships/hyperlink" Id="rId66" Target="https://doi.org/10.3389/fphy.2014.00005" TargetMode="External" /><Relationship Type="http://schemas.openxmlformats.org/officeDocument/2006/relationships/hyperlink" Id="rId130" Target="https://doi.org/10.3390/electronics15081622" TargetMode="External" /><Relationship Type="http://schemas.openxmlformats.org/officeDocument/2006/relationships/hyperlink" Id="rId161" Target="https://doi.org/10.35848/1347-4065/ab8d4f" TargetMode="External" /><Relationship Type="http://schemas.openxmlformats.org/officeDocument/2006/relationships/hyperlink" Id="rId79" Target="https://doi.org/10.7551/mitpress/5236.001.0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2026-07-12T12:33:57Z</dcterms:created>
  <dcterms:modified xsi:type="dcterms:W3CDTF">2026-07-12T12:33:57Z</dcterms:modified>
</cp:coreProperties>
</file>

<file path=docProps/custom.xml><?xml version="1.0" encoding="utf-8"?>
<Properties xmlns="http://schemas.openxmlformats.org/officeDocument/2006/custom-properties" xmlns:vt="http://schemas.openxmlformats.org/officeDocument/2006/docPropsVTypes"/>
</file>