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8.png" ContentType="image/png"/>
  <Override PartName="/word/media/rId41.png" ContentType="image/png"/>
  <Override PartName="/word/media/rId45.png" ContentType="image/png"/>
  <Override PartName="/word/media/rId48.png" ContentType="image/png"/>
  <Override PartName="/word/media/rId53.png" ContentType="image/png"/>
  <Override PartName="/word/media/rId57.png" ContentType="image/png"/>
  <Override PartName="/word/media/rId62.png" ContentType="image/png"/>
  <Override PartName="/word/media/rId69.png" ContentType="image/png"/>
  <Override PartName="/word/media/rId72.png" ContentType="image/png"/>
  <Override PartName="/word/media/rId75.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7"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w:t>
      </w:r>
      <w:r>
        <w:rPr>
          <w:rStyle w:val="FootnoteReference"/>
        </w:rPr>
        <w:footnoteReference w:id="36"/>
      </w:r>
      <w:r>
        <w:rPr>
          <w:rFonts w:hint="eastAsia"/>
        </w:rPr>
        <w:t xml:space="preserve">。图5.2(d)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7"/>
    <w:bookmarkStart w:id="5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9" name="Picture"/>
            <a:graphic>
              <a:graphicData uri="http://schemas.openxmlformats.org/drawingml/2006/picture">
                <pic:pic>
                  <pic:nvPicPr>
                    <pic:cNvPr descr="figs/Chapter05_local_03.png" id="40" name="Picture"/>
                    <pic:cNvPicPr>
                      <a:picLocks noChangeArrowheads="1" noChangeAspect="1"/>
                    </pic:cNvPicPr>
                  </pic:nvPicPr>
                  <pic:blipFill>
                    <a:blip r:embed="rId38"/>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，过度积分而使记忆窗超出任务时标、相邻输入不再可分辨。对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696030"/>
            <wp:effectExtent b="0" l="0" r="0" t="0"/>
            <wp:docPr descr="" title="" id="42" name="Picture"/>
            <a:graphic>
              <a:graphicData uri="http://schemas.openxmlformats.org/drawingml/2006/picture">
                <pic:pic>
                  <pic:nvPicPr>
                    <pic:cNvPr descr="figs/Chapter05_local_04.png" id="43" name="Picture"/>
                    <pic:cNvPicPr>
                      <a:picLocks noChangeArrowheads="1" noChangeAspect="1"/>
                    </pic:cNvPicPr>
                  </pic:nvPicPr>
                  <pic:blipFill>
                    <a:blip r:embed="rId41"/>
                    <a:stretch>
                      <a:fillRect/>
                    </a:stretch>
                  </pic:blipFill>
                  <pic:spPr bwMode="auto">
                    <a:xfrm>
                      <a:off x="0" y="0"/>
                      <a:ext cx="5334000" cy="369603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370</m:t>
        </m:r>
        <m:r>
          <m:t> </m:t>
        </m:r>
        <m:r>
          <m:rPr>
            <m:sty m:val="p"/>
          </m:rPr>
          <m:t>n</m:t>
        </m:r>
        <m:r>
          <m:rPr>
            <m:sty m:val="p"/>
          </m:rPr>
          <m:t>s</m:t>
        </m:r>
      </m:oMath>
      <w:r>
        <w:rPr>
          <w:rFonts w:hint="eastAsia"/>
        </w:rPr>
        <w:t xml:space="preserve">降至约</w:t>
      </w:r>
      <m:oMath>
        <m:r>
          <m:t>7</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K间漂移达5.37，而当储备池更新步长随温度按匹配关系调整后，漂移压缩至0.32。这给出一个简单的器件操作配方：无需改变器件，只需令系统时钟跟随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上述温轴取第四章建立的磁性标度链：势垒本身随温度下降</w:t>
      </w:r>
      <w:r>
        <w:t xml:space="preserve"> </w:t>
      </w:r>
      <w:r>
        <w:rPr>
          <w:rFonts w:hint="eastAsia"/>
        </w:rPr>
        <w:t xml:space="preserve">(界面项与形状项的近补偿之差被温度放大)，故</w:t>
      </w:r>
      <m:oMath>
        <m:r>
          <m:t>τ</m:t>
        </m:r>
        <m:r>
          <m:rPr>
            <m:sty m:val="p"/>
          </m:rPr>
          <m:t>(</m:t>
        </m:r>
        <m:r>
          <m:t>T</m:t>
        </m:r>
        <m:r>
          <m:rPr>
            <m:sty m:val="p"/>
          </m:rPr>
          <m:t>)</m:t>
        </m:r>
      </m:oMath>
      <w:r>
        <w:rPr>
          <w:rFonts w:hint="eastAsia"/>
        </w:rPr>
        <w:t xml:space="preserve">较仅随分母kT缩放的固定势垒简化口径更陡，高温端在400</w:t>
      </w:r>
      <w:r>
        <w:t xml:space="preserve"> </w:t>
      </w:r>
      <w:r>
        <w:rPr>
          <w:rFonts w:hint="eastAsia"/>
        </w:rPr>
        <w:t xml:space="preserve">K附近不足后者的一半</w:t>
      </w:r>
      <w:r>
        <w:rPr>
          <w:rStyle w:val="FootnoteReference"/>
        </w:rPr>
        <w:footnoteReference w:id="44"/>
      </w:r>
      <w:r>
        <w:rPr>
          <w:rFonts w:hint="eastAsia"/>
        </w:rPr>
        <w:t xml:space="preserve">。热时钟配方的形式与口径无关：系统时钟跟随</w:t>
      </w:r>
      <m:oMath>
        <m:r>
          <m:t>τ</m:t>
        </m:r>
        <m:r>
          <m:rPr>
            <m:sty m:val="p"/>
          </m:rPr>
          <m:t>(</m:t>
        </m:r>
        <m:r>
          <m:t>T</m:t>
        </m:r>
        <m:r>
          <m:rPr>
            <m:sty m:val="p"/>
          </m:rPr>
          <m:t>)</m:t>
        </m:r>
      </m:oMath>
      <w:r>
        <w:rPr>
          <w:rFonts w:hint="eastAsia"/>
        </w:rPr>
        <w:t xml:space="preserve">即可；按温反推势垒或设定重标定周期时亦以该温轴为准。该温轴与第四章概率二值网络的部署温窗共享同一标度链，两种工作模式的温度行为由此统一在同一温轴上</w:t>
      </w:r>
      <w:r>
        <w:t xml:space="preserve"> </w:t>
      </w:r>
      <w:r>
        <w:rPr>
          <w:rFonts w:hint="eastAsia"/>
        </w:rPr>
        <w:t xml:space="preserve">(第四章图4.24)。</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6" name="Picture"/>
            <a:graphic>
              <a:graphicData uri="http://schemas.openxmlformats.org/drawingml/2006/picture">
                <pic:pic>
                  <pic:nvPicPr>
                    <pic:cNvPr descr="figs/Chapter05_local_05.png" id="47" name="Picture"/>
                    <pic:cNvPicPr>
                      <a:picLocks noChangeArrowheads="1" noChangeAspect="1"/>
                    </pic:cNvPicPr>
                  </pic:nvPicPr>
                  <pic:blipFill>
                    <a:blip r:embed="rId45"/>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p>
      <w:pPr>
        <w:pStyle w:val="BodyText"/>
      </w:pPr>
      <w:r>
        <w:rPr>
          <w:rFonts w:hint="eastAsia"/>
        </w:rPr>
        <w:t xml:space="preserve">本节的器件优化结论以均值场模式取得，5.3节已指出该模式是集成规模趋于无穷的上限。把其中两条主线在物理采样模式</w:t>
      </w:r>
      <w:r>
        <w:t xml:space="preserve"> </w:t>
      </w:r>
      <w:r>
        <w:rPr>
          <w:rFonts w:hint="eastAsia"/>
        </w:rPr>
        <w:t xml:space="preserve">(每节点96器件、3个采样种子，与图5.2(f)同口径)</w:t>
      </w:r>
      <w:r>
        <w:t xml:space="preserve"> </w:t>
      </w:r>
      <w:r>
        <w:rPr>
          <w:rFonts w:hint="eastAsia"/>
        </w:rPr>
        <w:t xml:space="preserve">下复验</w:t>
      </w:r>
      <w:r>
        <w:t xml:space="preserve"> </w:t>
      </w:r>
      <w:r>
        <w:rPr>
          <w:rFonts w:hint="eastAsia"/>
        </w:rPr>
        <w:t xml:space="preserve">(图5.6)：最优势垒的均值场高原不再成立——读出散粒噪声把记忆容量整体压至1附近并使其随</w:t>
      </w:r>
      <m:oMath>
        <m:r>
          <m:rPr>
            <m:sty m:val="p"/>
          </m:rPr>
          <m:t>Δ</m:t>
        </m:r>
      </m:oMath>
      <w:r>
        <w:rPr>
          <w:rFonts w:hint="eastAsia"/>
        </w:rPr>
        <w:t xml:space="preserve">单调下降，最优点移向更低势垒</w:t>
      </w:r>
      <w:r>
        <w:t xml:space="preserve"> (</w:t>
      </w:r>
      <m:oMath>
        <m:r>
          <m:rPr>
            <m:sty m:val="p"/>
          </m:rPr>
          <m:t>Δ</m:t>
        </m:r>
        <m:r>
          <m:rPr>
            <m:sty m:val="p"/>
          </m:rPr>
          <m:t>≈</m:t>
        </m:r>
        <m:r>
          <m:t>2.5</m:t>
        </m:r>
      </m:oMath>
      <w:r>
        <w:rPr>
          <w:rFonts w:hint="eastAsia"/>
        </w:rPr>
        <w:t xml:space="preserve">)；变异有益性的方向保留</w:t>
      </w:r>
      <w:r>
        <w:t xml:space="preserve"> </w:t>
      </w:r>
      <w:r>
        <w:rPr>
          <w:rFonts w:hint="eastAsia"/>
        </w:rPr>
        <w:t xml:space="preserve">(CV=30%时容量由0.27升至0.48)，幅度被读出噪声压缩。因此本节设计指导的完整读法是：均值场刻画容量结构与极值位置的上限图景，物理系综下的第一约束是读出信噪比，器件选择在此基础上应向更低势垒、更快弛豫再加权，这与5.3节散粒噪声主导的结论同源，也再次把工程重心指向读出。</w:t>
      </w:r>
    </w:p>
    <w:p>
      <w:pPr>
        <w:pStyle w:val="BodyText"/>
      </w:pPr>
      <w:r>
        <w:drawing>
          <wp:inline>
            <wp:extent cx="5334000" cy="2137703"/>
            <wp:effectExtent b="0" l="0" r="0" t="0"/>
            <wp:docPr descr="" title="" id="49" name="Picture"/>
            <a:graphic>
              <a:graphicData uri="http://schemas.openxmlformats.org/drawingml/2006/picture">
                <pic:pic>
                  <pic:nvPicPr>
                    <pic:cNvPr descr="figs/Chapter05_local_06.png" id="50" name="Picture"/>
                    <pic:cNvPicPr>
                      <a:picLocks noChangeArrowheads="1" noChangeAspect="1"/>
                    </pic:cNvPicPr>
                  </pic:nvPicPr>
                  <pic:blipFill>
                    <a:blip r:embed="rId48"/>
                    <a:stretch>
                      <a:fillRect/>
                    </a:stretch>
                  </pic:blipFill>
                  <pic:spPr bwMode="auto">
                    <a:xfrm>
                      <a:off x="0" y="0"/>
                      <a:ext cx="5334000" cy="213770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器件优化结论的物理系综复验</w:t>
      </w:r>
      <w:r>
        <w:t xml:space="preserve"> </w:t>
      </w:r>
      <w:r>
        <w:rPr>
          <w:rFonts w:hint="eastAsia"/>
        </w:rPr>
        <w:t xml:space="preserve">(每节点96器件、3种子，误差棒为种子间标准差)。(a)</w:t>
      </w:r>
      <w:r>
        <w:t xml:space="preserve"> </w:t>
      </w:r>
      <w:r>
        <w:rPr>
          <w:rFonts w:hint="eastAsia"/>
        </w:rPr>
        <w:t xml:space="preserve">记忆容量对势垒</w:t>
      </w:r>
      <m:oMath>
        <m:r>
          <m:rPr>
            <m:sty m:val="p"/>
          </m:rPr>
          <m:t>Δ</m:t>
        </m:r>
      </m:oMath>
      <w:r>
        <w:rPr>
          <w:rFonts w:hint="eastAsia"/>
        </w:rPr>
        <w:t xml:space="preserve">：均值场高原</w:t>
      </w:r>
      <w:r>
        <w:t xml:space="preserve"> </w:t>
      </w:r>
      <w:r>
        <w:rPr>
          <w:rFonts w:hint="eastAsia"/>
        </w:rPr>
        <w:t xml:space="preserve">(阴影带3.5至4.3)</w:t>
      </w:r>
      <w:r>
        <w:t xml:space="preserve"> </w:t>
      </w:r>
      <w:r>
        <w:rPr>
          <w:rFonts w:hint="eastAsia"/>
        </w:rPr>
        <w:t xml:space="preserve">在物理采样下不再成立，容量随</w:t>
      </w:r>
      <m:oMath>
        <m:r>
          <m:rPr>
            <m:sty m:val="p"/>
          </m:rPr>
          <m:t>Δ</m:t>
        </m:r>
      </m:oMath>
      <w:r>
        <w:rPr>
          <w:rFonts w:hint="eastAsia"/>
        </w:rPr>
        <w:t xml:space="preserve">单调下降、最优点移向更低势垒，竖虚线为概率位写器件的</w:t>
      </w:r>
      <m:oMath>
        <m:r>
          <m:rPr>
            <m:sty m:val="p"/>
          </m:rPr>
          <m:t>Δ</m:t>
        </m:r>
        <m:r>
          <m:rPr>
            <m:sty m:val="p"/>
          </m:rPr>
          <m:t>=</m:t>
        </m:r>
        <m:r>
          <m:t>4.91</m:t>
        </m:r>
      </m:oMath>
      <w:r>
        <w:rPr>
          <w:rFonts w:hint="eastAsia"/>
        </w:rPr>
        <w:t xml:space="preserve">；(b)</w:t>
      </w:r>
      <w:r>
        <w:t xml:space="preserve"> </w:t>
      </w:r>
      <w:r>
        <w:rPr>
          <w:rFonts w:hint="eastAsia"/>
        </w:rPr>
        <w:t xml:space="preserve">变异有益性复验：CV</w:t>
      </w:r>
      <m:oMath>
        <m:r>
          <m:rPr>
            <m:sty m:val="p"/>
          </m:rPr>
          <m:t>(</m:t>
        </m:r>
        <m:r>
          <m:rPr>
            <m:sty m:val="p"/>
          </m:rPr>
          <m:t>Δ</m:t>
        </m:r>
        <m:r>
          <m:rPr>
            <m:sty m:val="p"/>
          </m:rPr>
          <m:t>)</m:t>
        </m:r>
      </m:oMath>
      <w:r>
        <w:rPr>
          <w:rFonts w:hint="eastAsia"/>
        </w:rPr>
        <w:t xml:space="preserve">为0、7.7%与30%时两种模式的记忆容量对比，方向保留而幅度受读出噪声压缩。</w:t>
      </w:r>
    </w:p>
    <w:p>
      <w:pPr>
        <w:pStyle w:val="BodyText"/>
      </w:pPr>
      <w:r>
        <w:rPr>
          <w:rFonts w:hint="eastAsia"/>
        </w:rPr>
        <w:t xml:space="preserve">势垒与工作点的选择还受一条稳定性约束：储备池须处在回声状态区，输出才由输入历史而非初始条件决定。把判据按保证强度分作三层，在等效谱半径、工作点偏置与储备池步长构成的平面上逐点评估</w:t>
      </w:r>
      <w:r>
        <w:t xml:space="preserve"> </w:t>
      </w:r>
      <w:r>
        <w:rPr>
          <w:rFonts w:hint="eastAsia"/>
        </w:rPr>
        <w:t xml:space="preserve">(图5.7)，可见回声状态网络的经典谱半径边界在器件映射下得以保持，而可严格证明的部分远窄于该边界。沿驱动轨迹线性化的谱判据在零偏处立在等效谱半径约1，且在1至120</w:t>
      </w:r>
      <w:r>
        <w:t xml:space="preserve"> </w:t>
      </w:r>
      <w:r>
        <w:rPr>
          <w:rFonts w:hint="eastAsia"/>
        </w:rPr>
        <w:t xml:space="preserve">ns的整个步长区间内不随步长移动：单步保持因子随步长增大而减小时，递归通道的增益按同一因子放大，泄漏与斜率恰好对消。逐行</w:t>
      </w:r>
      <m:oMath>
        <m:r>
          <m:rPr>
            <m:sty m:val="p"/>
          </m:rPr>
          <m:t>∞</m:t>
        </m:r>
      </m:oMath>
      <w:r>
        <w:rPr>
          <w:rFonts w:hint="eastAsia"/>
        </w:rPr>
        <w:t xml:space="preserve">-范数的严格充分界只认证到等效谱半径0.1以下的窄带，其保守可归因于器件本身，热稳定因子同时设定弛豫时间与传输斜率，最慢的节点也是最陡的节点，界由抽样中最陡的单个节点定夺，而谱判据度量的是节点池的集体增益。可用边界因而由线性化判据给出并由孪生轨迹实证支撑：平面上97%的格点使两条初值相反的轨迹相互收缩，认证区严格含于收缩区，两张扫描平面均无反例</w:t>
      </w:r>
      <w:r>
        <w:rPr>
          <w:rStyle w:val="FootnoteReference"/>
        </w:rPr>
        <w:footnoteReference w:id="51"/>
      </w:r>
      <w:r>
        <w:t xml:space="preserve">。</w:t>
      </w:r>
    </w:p>
    <w:p>
      <w:pPr>
        <w:pStyle w:val="BodyText"/>
      </w:pPr>
      <w:r>
        <w:rPr>
          <w:rFonts w:hint="eastAsia"/>
        </w:rPr>
        <w:t xml:space="preserve">工作点偏置把这条边界向右推移，构成可用的稳定裕量。零偏下出现在等效谱半径1.1附近的非收缩带在偏置越过约20</w:t>
      </w:r>
      <w:r>
        <w:t xml:space="preserve"> </w:t>
      </w:r>
      <w:r>
        <w:rPr>
          <w:rFonts w:hint="eastAsia"/>
        </w:rPr>
        <w:t xml:space="preserve">mV后退出扫描范围，该带内两条轨迹分别锁定于对向饱和的双稳，偏置打破上下对称后收敛恢复；其机理与5.1节的</w:t>
      </w:r>
      <m:oMath>
        <m:r>
          <m:t>τ</m:t>
        </m:r>
        <m:r>
          <m:rPr>
            <m:sty m:val="p"/>
          </m:rPr>
          <m:t>(</m:t>
        </m:r>
        <m:r>
          <m:t>V</m:t>
        </m:r>
        <m:r>
          <m:rPr>
            <m:sty m:val="p"/>
          </m:rPr>
          <m:t>)</m:t>
        </m:r>
      </m:oMath>
      <w:r>
        <w:rPr>
          <w:rFonts w:hint="eastAsia"/>
        </w:rPr>
        <w:t xml:space="preserve">同源，偏置缩短弛豫时间的同时压低传输斜率，记忆长度上的代价与稳定性上的收益出自同一个器件参数，与前述记忆和非线性的权衡同源。随机模式的收敛按共同噪声孪生系综在读出层的尾段距离判定，含义限定为共同输入与共同噪声下的轨迹同步</w:t>
      </w:r>
      <w:r>
        <w:rPr>
          <w:rStyle w:val="FootnoteReference"/>
        </w:rPr>
        <w:footnoteReference w:id="52"/>
      </w:r>
      <w:r>
        <w:rPr>
          <w:rFonts w:hint="eastAsia"/>
        </w:rPr>
        <w:t xml:space="preserve">，本章默认设置与5.5节硬件评估设置在该度量下的距离都降到去相关基线的四分之一以下。两组设置的裕量因而可分别陈述：默认设置恰落在线性化边界上，其非扩张性由孪生轨迹的尾段收缩承担；硬件评估设置在两项判据上都留有余量。</w:t>
      </w:r>
    </w:p>
    <w:p>
      <w:pPr>
        <w:pStyle w:val="BodyText"/>
      </w:pPr>
      <w:r>
        <w:drawing>
          <wp:inline>
            <wp:extent cx="5334000" cy="2259344"/>
            <wp:effectExtent b="0" l="0" r="0" t="0"/>
            <wp:docPr descr="" title="" id="54" name="Picture"/>
            <a:graphic>
              <a:graphicData uri="http://schemas.openxmlformats.org/drawingml/2006/picture">
                <pic:pic>
                  <pic:nvPicPr>
                    <pic:cNvPr descr="figs/Chapter05_local_07.png" id="55" name="Picture"/>
                    <pic:cNvPicPr>
                      <a:picLocks noChangeArrowheads="1" noChangeAspect="1"/>
                    </pic:cNvPicPr>
                  </pic:nvPicPr>
                  <pic:blipFill>
                    <a:blip r:embed="rId53"/>
                    <a:stretch>
                      <a:fillRect/>
                    </a:stretch>
                  </pic:blipFill>
                  <pic:spPr bwMode="auto">
                    <a:xfrm>
                      <a:off x="0" y="0"/>
                      <a:ext cx="5334000" cy="2259344"/>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电报储备池回声状态判据在参数平面上的认证。底色为均值场孪生轨迹的尾段衰减率，负值表示两条初值相反的轨迹相互收缩，三条界线依次为逐行</w:t>
      </w:r>
      <m:oMath>
        <m:r>
          <m:rPr>
            <m:sty m:val="p"/>
          </m:rPr>
          <m:t>∞</m:t>
        </m:r>
      </m:oMath>
      <w:r>
        <w:rPr>
          <w:rFonts w:hint="eastAsia"/>
        </w:rPr>
        <w:t xml:space="preserve">-范数严格充分界、线性化谱判据与实证收缩边界，星号与圆点分别为本章默认设置与5.5节硬件评估设置。(a)</w:t>
      </w:r>
      <w:r>
        <w:t xml:space="preserve"> </w:t>
      </w:r>
      <w:r>
        <w:rPr>
          <w:rFonts w:hint="eastAsia"/>
        </w:rPr>
        <w:t xml:space="preserve">等效谱半径与工作点偏置平面</w:t>
      </w:r>
      <w:r>
        <w:t xml:space="preserve"> (</w:t>
      </w:r>
      <m:oMath>
        <m:r>
          <m:rPr>
            <m:sty m:val="p"/>
          </m:rPr>
          <m:t>d</m:t>
        </m:r>
        <m:r>
          <m:t>t</m:t>
        </m:r>
        <m:r>
          <m:rPr>
            <m:sty m:val="p"/>
          </m:rPr>
          <m:t>=</m:t>
        </m:r>
        <m:r>
          <m:t>8</m:t>
        </m:r>
        <m:r>
          <m:t> </m:t>
        </m:r>
        <m:r>
          <m:rPr>
            <m:sty m:val="p"/>
          </m:rPr>
          <m:t>n</m:t>
        </m:r>
        <m:r>
          <m:rPr>
            <m:sty m:val="p"/>
          </m:rPr>
          <m:t>s</m:t>
        </m:r>
      </m:oMath>
      <w:r>
        <w:rPr>
          <w:rFonts w:hint="eastAsia"/>
        </w:rPr>
        <w:t xml:space="preserve">)：严格界只认证左侧窄带，线性化边界立在等效谱半径约1处并随偏置右移；(b)</w:t>
      </w:r>
      <w:r>
        <w:t xml:space="preserve"> </w:t>
      </w:r>
      <w:r>
        <w:rPr>
          <w:rFonts w:hint="eastAsia"/>
        </w:rPr>
        <w:t xml:space="preserve">等效谱半径与储备池步长平面</w:t>
      </w:r>
      <w:r>
        <w:t xml:space="preserve"> </w:t>
      </w:r>
      <w:r>
        <w:rPr>
          <w:rFonts w:hint="eastAsia"/>
        </w:rPr>
        <w:t xml:space="preserve">(零偏)：两条界线在1至120</w:t>
      </w:r>
      <w:r>
        <w:t xml:space="preserve"> </w:t>
      </w:r>
      <w:r>
        <w:rPr>
          <w:rFonts w:hint="eastAsia"/>
        </w:rPr>
        <w:t xml:space="preserve">ns内近乎不随步长移动，与泄漏和斜率对消的解析结论一致。</w:t>
      </w:r>
    </w:p>
    <w:bookmarkEnd w:id="56"/>
    <w:bookmarkStart w:id="78"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为说明该器件是通用时序处理器而非单任务构造，沿用第四章跨任务验证的思路，以同一固定储备池配方运行多个标准基准。图5.8给出结果。</w:t>
      </w:r>
    </w:p>
    <w:p>
      <w:pPr>
        <w:pStyle w:val="BodyText"/>
      </w:pPr>
      <w:r>
        <w:drawing>
          <wp:inline>
            <wp:extent cx="5334000" cy="3825031"/>
            <wp:effectExtent b="0" l="0" r="0" t="0"/>
            <wp:docPr descr="" title="" id="58" name="Picture"/>
            <a:graphic>
              <a:graphicData uri="http://schemas.openxmlformats.org/drawingml/2006/picture">
                <pic:pic>
                  <pic:nvPicPr>
                    <pic:cNvPr descr="figs/Chapter05_local_08.png" id="59" name="Picture"/>
                    <pic:cNvPicPr>
                      <a:picLocks noChangeArrowheads="1" noChangeAspect="1"/>
                    </pic:cNvPicPr>
                  </pic:nvPicPr>
                  <pic:blipFill>
                    <a:blip r:embed="rId57"/>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w:t>
      </w:r>
      <w:r>
        <w:t xml:space="preserve"> </w:t>
      </w:r>
      <w:r>
        <w:rPr>
          <w:rFonts w:hint="eastAsia"/>
        </w:rPr>
        <w:t xml:space="preserve">(均值场口径</w:t>
      </w:r>
      <w:r>
        <w:rPr>
          <w:rStyle w:val="FootnoteReference"/>
        </w:rPr>
        <w:footnoteReference w:id="60"/>
      </w:r>
      <w:r>
        <w:rPr>
          <w:rFonts w:hint="eastAsia"/>
        </w:rPr>
        <w:t xml:space="preserve">)，随预测步长增至约0.04，表明储备池能稳定承担混沌动力学的短时预测。容量分解</w:t>
      </w:r>
      <w:r>
        <w:rPr>
          <w:rStyle w:val="FootnoteReference"/>
        </w:rPr>
        <w:footnoteReference w:id="61"/>
      </w:r>
      <w:r>
        <w:t xml:space="preserve"> </w:t>
      </w:r>
      <w:r>
        <w:rPr>
          <w:rFonts w:hint="eastAsia"/>
        </w:rPr>
        <w:t xml:space="preserve">(图5.8(c))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奇非线性的反映，奇阶项可由器件直接生成，偶阶项需偏置打破对称才会出现。图5.8(d)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。图5.9给出评估。</w:t>
      </w:r>
    </w:p>
    <w:p>
      <w:pPr>
        <w:pStyle w:val="BodyText"/>
      </w:pPr>
      <w:r>
        <w:drawing>
          <wp:inline>
            <wp:extent cx="5334000" cy="3558141"/>
            <wp:effectExtent b="0" l="0" r="0" t="0"/>
            <wp:docPr descr="" title="" id="63" name="Picture"/>
            <a:graphic>
              <a:graphicData uri="http://schemas.openxmlformats.org/drawingml/2006/picture">
                <pic:pic>
                  <pic:nvPicPr>
                    <pic:cNvPr descr="figs/Chapter05_local_09.png" id="64" name="Picture"/>
                    <pic:cNvPicPr>
                      <a:picLocks noChangeArrowheads="1" noChangeAspect="1"/>
                    </pic:cNvPicPr>
                  </pic:nvPicPr>
                  <pic:blipFill>
                    <a:blip r:embed="rId62"/>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65"/>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(图5.9(c))。其边界也清楚：理想存内计算ESN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的下界仍低于sMTJ-RC，故该优势成立的前提是相对冯诺依曼式数字ESN的比较，而非相对最激进的模拟存内计算。图5.9(d)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66"/>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(图5.11)；但比较器项随位数线性增长，分辨率的能量惩罚温和。近期工作已论证以器件系综的集合平均作读出可有效抑制物理储备池的输出噪声</w:t>
      </w:r>
      <w:r>
        <w:rPr>
          <w:rStyle w:val="FootnoteReference"/>
        </w:rPr>
        <w:footnoteReference w:id="67"/>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(图5.10)。正是这一摊销使前述能量优势在含提取读出时仍达约30倍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70" name="Picture"/>
            <a:graphic>
              <a:graphicData uri="http://schemas.openxmlformats.org/drawingml/2006/picture">
                <pic:pic>
                  <pic:nvPicPr>
                    <pic:cNvPr descr="figs/Chapter05_local_10.png" id="71" name="Picture"/>
                    <pic:cNvPicPr>
                      <a:picLocks noChangeArrowheads="1" noChangeAspect="1"/>
                    </pic:cNvPicPr>
                  </pic:nvPicPr>
                  <pic:blipFill>
                    <a:blip r:embed="rId69"/>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73" name="Picture"/>
            <a:graphic>
              <a:graphicData uri="http://schemas.openxmlformats.org/drawingml/2006/picture">
                <pic:pic>
                  <pic:nvPicPr>
                    <pic:cNvPr descr="figs/Chapter05_local_11.png" id="74" name="Picture"/>
                    <pic:cNvPicPr>
                      <a:picLocks noChangeArrowheads="1" noChangeAspect="1"/>
                    </pic:cNvPicPr>
                  </pic:nvPicPr>
                  <pic:blipFill>
                    <a:blip r:embed="rId72"/>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图5.11</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p>
      <w:pPr>
        <w:pStyle w:val="BodyText"/>
      </w:pPr>
      <w:r>
        <w:rPr>
          <w:rFonts w:hint="eastAsia"/>
        </w:rPr>
        <w:t xml:space="preserve">同一阵列的PBNN模式以1比特感测加popcount计数器读列，一个自然的设想是储备池模式复用这套计数外围、省去逐次逼近转换器；物理系综的同列对比</w:t>
      </w:r>
      <w:r>
        <w:t xml:space="preserve"> </w:t>
      </w:r>
      <w:r>
        <w:rPr>
          <w:rFonts w:hint="eastAsia"/>
        </w:rPr>
        <w:t xml:space="preserve">(图5.12)</w:t>
      </w:r>
      <w:r>
        <w:t xml:space="preserve"> </w:t>
      </w:r>
      <w:r>
        <w:rPr>
          <w:rFonts w:hint="eastAsia"/>
        </w:rPr>
        <w:t xml:space="preserve">排除了这条路线。积分窗与弛豫时间之比决定窗内时间平均的价值：步长25</w:t>
      </w:r>
      <w:r>
        <w:t xml:space="preserve"> </w:t>
      </w:r>
      <w:r>
        <w:rPr>
          <w:rFonts w:hint="eastAsia"/>
        </w:rPr>
        <w:t xml:space="preserve">ns、弛豫时间数十纳秒时每窗仅约1.2至1.6个独立样本，分辨率只能来自系综规模，每增加一个有效比特需四倍器件、也需四倍感测能量</w:t>
      </w:r>
      <w:r>
        <w:t xml:space="preserve"> (</w:t>
      </w:r>
      <m:oMath>
        <m:sSub>
          <m:e>
            <m:r>
              <m:t>b</m:t>
            </m:r>
          </m:e>
          <m:sub>
            <m:r>
              <m:rPr>
                <m:sty m:val="p"/>
              </m:rPr>
              <m:t>e</m:t>
            </m:r>
            <m:r>
              <m:rPr>
                <m:sty m:val="p"/>
              </m:rPr>
              <m:t>f</m:t>
            </m:r>
            <m:r>
              <m:rPr>
                <m:sty m:val="p"/>
              </m:rPr>
              <m:t>f</m:t>
            </m:r>
          </m:sub>
        </m:sSub>
        <m:r>
          <m:rPr>
            <m:sty m:val="p"/>
          </m:rPr>
          <m:t>=</m:t>
        </m:r>
        <m:f>
          <m:fPr>
            <m:type m:val="lin"/>
          </m:fPr>
          <m:num>
            <m:r>
              <m:t>1</m:t>
            </m:r>
          </m:num>
          <m:den>
            <m:r>
              <m:t>2</m:t>
            </m:r>
          </m:den>
        </m:f>
        <m:sSub>
          <m:e>
            <m:r>
              <m:rPr>
                <m:sty m:val="p"/>
              </m:rPr>
              <m:t>log</m:t>
            </m:r>
          </m:e>
          <m:sub>
            <m:r>
              <m:t>2</m:t>
            </m:r>
          </m:sub>
        </m:sSub>
        <m:r>
          <m:t>E</m:t>
        </m:r>
      </m:oMath>
      <w:r>
        <w:rPr>
          <w:rFonts w:hint="eastAsia"/>
        </w:rPr>
        <w:t xml:space="preserve">)，而逐次逼近的代价只随位数线性增长。在标准系综规模96处，单外围计数系统</w:t>
      </w:r>
      <w:r>
        <w:t xml:space="preserve"> </w:t>
      </w:r>
      <w:r>
        <w:rPr>
          <w:rFonts w:hint="eastAsia"/>
        </w:rPr>
        <w:t xml:space="preserve">(递归与读出同用一次popcount选通)</w:t>
      </w:r>
      <w:r>
        <w:t xml:space="preserve"> </w:t>
      </w:r>
      <w:r>
        <w:rPr>
          <w:rFonts w:hint="eastAsia"/>
        </w:rPr>
        <w:t xml:space="preserve">的记忆容量为1.59、低于散粒噪声匹配的逐次逼近读出的2.33，读出能量却高约24倍</w:t>
      </w:r>
      <w:r>
        <w:t xml:space="preserve"> </w:t>
      </w:r>
      <w:r>
        <w:rPr>
          <w:rFonts w:hint="eastAsia"/>
        </w:rPr>
        <w:t xml:space="preserve">(按平均递增计费约20倍)；单次选通还放弃了模拟积分器无代价收集的窗内积分增益。计数读出因此仅在不允许任何模数转换器、面积最小的单外围约束下才值得采用；只要列共享逐次逼近可用，它就被排除。该对比同时给出一个校准侧发现：同一工作点的均值场记忆容量约4.9是无穷系综上限，物理系综的记忆容量由系综噪声经读出通道限制</w:t>
      </w:r>
      <w:r>
        <w:t xml:space="preserve"> </w:t>
      </w:r>
      <w:r>
        <w:rPr>
          <w:rFonts w:hint="eastAsia"/>
        </w:rPr>
        <w:t xml:space="preserve">(递归通道的噪声贡献经消融确认在估计噪声内)，此前基于无噪声均值场信号的等能量前沿因而应读作上限而非可达值。</w:t>
      </w:r>
    </w:p>
    <w:p>
      <w:pPr>
        <w:pStyle w:val="BodyText"/>
      </w:pPr>
      <w:r>
        <w:drawing>
          <wp:inline>
            <wp:extent cx="5334000" cy="2141446"/>
            <wp:effectExtent b="0" l="0" r="0" t="0"/>
            <wp:docPr descr="" title="" id="76" name="Picture"/>
            <a:graphic>
              <a:graphicData uri="http://schemas.openxmlformats.org/drawingml/2006/picture">
                <pic:pic>
                  <pic:nvPicPr>
                    <pic:cNvPr descr="figs/Chapter05_local_12.png" id="77" name="Picture"/>
                    <pic:cNvPicPr>
                      <a:picLocks noChangeArrowheads="1" noChangeAspect="1"/>
                    </pic:cNvPicPr>
                  </pic:nvPicPr>
                  <pic:blipFill>
                    <a:blip r:embed="rId75"/>
                    <a:stretch>
                      <a:fillRect/>
                    </a:stretch>
                  </pic:blipFill>
                  <pic:spPr bwMode="auto">
                    <a:xfrm>
                      <a:off x="0" y="0"/>
                      <a:ext cx="5334000" cy="2141446"/>
                    </a:xfrm>
                    <a:prstGeom prst="rect">
                      <a:avLst/>
                    </a:prstGeom>
                    <a:noFill/>
                    <a:ln w="9525">
                      <a:noFill/>
                      <a:headEnd/>
                      <a:tailEnd/>
                    </a:ln>
                  </pic:spPr>
                </pic:pic>
              </a:graphicData>
            </a:graphic>
          </wp:inline>
        </w:drawing>
      </w:r>
    </w:p>
    <w:p>
      <w:pPr>
        <w:pStyle w:val="BodyText"/>
      </w:pPr>
      <w:r>
        <w:rPr>
          <w:rFonts w:hint="eastAsia"/>
          <w:b/>
          <w:bCs/>
        </w:rPr>
        <w:t xml:space="preserve">图5.12</w:t>
      </w:r>
      <w:r>
        <w:t xml:space="preserve"> </w:t>
      </w:r>
      <w:r>
        <w:rPr>
          <w:rFonts w:hint="eastAsia"/>
        </w:rPr>
        <w:t xml:space="preserve">计数式读出与逐次逼近读出的物理系综同列对比。(a)</w:t>
      </w:r>
      <w:r>
        <w:t xml:space="preserve"> </w:t>
      </w:r>
      <w:r>
        <w:rPr>
          <w:rFonts w:hint="eastAsia"/>
        </w:rPr>
        <w:t xml:space="preserve">三种读出外围的记忆容量随每节点系综规模</w:t>
      </w:r>
      <w:r>
        <w:t xml:space="preserve"> </w:t>
      </w:r>
      <w:r>
        <w:rPr>
          <w:rFonts w:hint="eastAsia"/>
        </w:rPr>
        <w:t xml:space="preserve">(误差棒为3个储备池种子的半极差)：单外围计数</w:t>
      </w:r>
      <w:r>
        <w:t xml:space="preserve"> </w:t>
      </w:r>
      <w:r>
        <w:rPr>
          <w:rFonts w:hint="eastAsia"/>
        </w:rPr>
        <w:t xml:space="preserve">(红)</w:t>
      </w:r>
      <w:r>
        <w:t xml:space="preserve"> </w:t>
      </w:r>
      <w:r>
        <w:rPr>
          <w:rFonts w:hint="eastAsia"/>
        </w:rPr>
        <w:t xml:space="preserve">系统性低于积分计数器</w:t>
      </w:r>
      <w:r>
        <w:t xml:space="preserve"> </w:t>
      </w:r>
      <w:r>
        <w:rPr>
          <w:rFonts w:hint="eastAsia"/>
        </w:rPr>
        <w:t xml:space="preserve">(橙)</w:t>
      </w:r>
      <w:r>
        <w:t xml:space="preserve"> </w:t>
      </w:r>
      <w:r>
        <w:rPr>
          <w:rFonts w:hint="eastAsia"/>
        </w:rPr>
        <w:t xml:space="preserve">与散粒噪声匹配的逐次逼近</w:t>
      </w:r>
      <w:r>
        <w:t xml:space="preserve"> </w:t>
      </w:r>
      <w:r>
        <w:rPr>
          <w:rFonts w:hint="eastAsia"/>
        </w:rPr>
        <w:t xml:space="preserve">(蓝)，灰虚线为均值场无穷系综上限；(b)</w:t>
      </w:r>
      <w:r>
        <w:t xml:space="preserve"> </w:t>
      </w:r>
      <w:r>
        <w:rPr>
          <w:rFonts w:hint="eastAsia"/>
        </w:rPr>
        <w:t xml:space="preserve">信息等效点上计数对逐次逼近的读出能量比</w:t>
      </w:r>
      <w:r>
        <w:t xml:space="preserve"> </w:t>
      </w:r>
      <w:r>
        <w:rPr>
          <w:rFonts w:hint="eastAsia"/>
        </w:rPr>
        <w:t xml:space="preserve">(实线为最坏情形计费、浅虚线为平均递增计费)</w:t>
      </w:r>
      <w:r>
        <w:t xml:space="preserve"> </w:t>
      </w:r>
      <w:r>
        <w:rPr>
          <w:rFonts w:hint="eastAsia"/>
        </w:rPr>
        <w:t xml:space="preserve">与总能量比，随系综规模由约7倍增至约190倍。</w:t>
      </w:r>
    </w:p>
    <w:bookmarkEnd w:id="78"/>
    <w:bookmarkStart w:id="86"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79"/>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5.14。该图把全文主线的器件、阵列、外围与操作模式四个层次串起：右侧操作模式层并列概率位推断与储备池两种时分复用用法，正与本节所述受限统一阵列相对应。</w:t>
      </w:r>
    </w:p>
    <w:p>
      <w:pPr>
        <w:pStyle w:val="BodyText"/>
      </w:pPr>
      <w:r>
        <w:rPr>
          <w:rFonts w:hint="eastAsia"/>
        </w:rPr>
        <w:t xml:space="preserve">该时分复用的最后一环是工作点的一致性：储备池的均值场最优势垒低于概率位写器件的</w:t>
      </w:r>
      <m:oMath>
        <m:r>
          <m:rPr>
            <m:sty m:val="p"/>
          </m:rPr>
          <m:t>Δ</m:t>
        </m:r>
        <m:r>
          <m:rPr>
            <m:sty m:val="p"/>
          </m:rPr>
          <m:t>=</m:t>
        </m:r>
        <m:r>
          <m:t>4.91</m:t>
        </m:r>
      </m:oMath>
      <w:r>
        <w:rPr>
          <w:rFonts w:hint="eastAsia"/>
        </w:rPr>
        <w:t xml:space="preserve">。时间尺度匹配律把这一差距化为时钟选择而非器件选择——在</w:t>
      </w:r>
      <m:oMath>
        <m:r>
          <m:rPr>
            <m:sty m:val="p"/>
          </m:rPr>
          <m:t>Δ</m:t>
        </m:r>
        <m:r>
          <m:rPr>
            <m:sty m:val="p"/>
          </m:rPr>
          <m:t>=</m:t>
        </m:r>
        <m:r>
          <m:t>4.91</m:t>
        </m:r>
      </m:oMath>
      <w:r>
        <w:rPr>
          <w:rFonts w:hint="eastAsia"/>
        </w:rPr>
        <w:t xml:space="preserve">的器件上把更新步长放慢到</w:t>
      </w:r>
      <m:oMath>
        <m:r>
          <m:t>τ</m:t>
        </m:r>
        <m:r>
          <m:rPr>
            <m:sty m:val="p"/>
          </m:rPr>
          <m:t>/</m:t>
        </m:r>
        <m:r>
          <m:t>2.3</m:t>
        </m:r>
        <m:r>
          <m:rPr>
            <m:sty m:val="p"/>
          </m:rPr>
          <m:t>≈</m:t>
        </m:r>
        <m:r>
          <m:t>30</m:t>
        </m:r>
        <m:r>
          <m:t> </m:t>
        </m:r>
        <m:r>
          <m:rPr>
            <m:sty m:val="p"/>
          </m:rPr>
          <m:t>n</m:t>
        </m:r>
        <m:r>
          <m:rPr>
            <m:sty m:val="p"/>
          </m:rPr>
          <m:t>s</m:t>
        </m:r>
      </m:oMath>
      <w:r>
        <w:rPr>
          <w:rFonts w:hint="eastAsia"/>
        </w:rPr>
        <w:t xml:space="preserve">后，均值场记忆容量恢复到</w:t>
      </w:r>
      <m:oMath>
        <m:r>
          <m:rPr>
            <m:sty m:val="p"/>
          </m:rPr>
          <m:t>Δ</m:t>
        </m:r>
        <m:r>
          <m:rPr>
            <m:sty m:val="p"/>
          </m:rPr>
          <m:t>=</m:t>
        </m:r>
        <m:r>
          <m:t>4.1</m:t>
        </m:r>
      </m:oMath>
      <w:r>
        <w:rPr>
          <w:rFonts w:hint="eastAsia"/>
        </w:rPr>
        <w:t xml:space="preserve">设计点的102%</w:t>
      </w:r>
      <w:r>
        <w:t xml:space="preserve"> </w:t>
      </w:r>
      <w:r>
        <w:rPr>
          <w:rFonts w:hint="eastAsia"/>
        </w:rPr>
        <w:t xml:space="preserve">(图5.13)，物理采样口径下匹配点的容量亦不低于设计点</w:t>
      </w:r>
      <w:r>
        <w:t xml:space="preserve"> </w:t>
      </w:r>
      <w:r>
        <w:rPr>
          <w:rFonts w:hint="eastAsia"/>
        </w:rPr>
        <w:t xml:space="preserve">(1.11±0.08对0.78±0.09)；代价是吞吐约3.7倍的下降与随步长线性增长的待机偏置耗散，每样本读出能量不变。因此同一阵列的双模式不要求两种势垒，只要求两种时钟。</w:t>
      </w:r>
    </w:p>
    <w:p>
      <w:pPr>
        <w:pStyle w:val="BodyText"/>
      </w:pPr>
      <w:r>
        <w:drawing>
          <wp:inline>
            <wp:extent cx="5334000" cy="3646272"/>
            <wp:effectExtent b="0" l="0" r="0" t="0"/>
            <wp:docPr descr="" title="" id="81" name="Picture"/>
            <a:graphic>
              <a:graphicData uri="http://schemas.openxmlformats.org/drawingml/2006/picture">
                <pic:pic>
                  <pic:nvPicPr>
                    <pic:cNvPr descr="figs/Chapter05_local_13.png" id="82" name="Picture"/>
                    <pic:cNvPicPr>
                      <a:picLocks noChangeArrowheads="1" noChangeAspect="1"/>
                    </pic:cNvPicPr>
                  </pic:nvPicPr>
                  <pic:blipFill>
                    <a:blip r:embed="rId80"/>
                    <a:stretch>
                      <a:fillRect/>
                    </a:stretch>
                  </pic:blipFill>
                  <pic:spPr bwMode="auto">
                    <a:xfrm>
                      <a:off x="0" y="0"/>
                      <a:ext cx="5334000" cy="3646272"/>
                    </a:xfrm>
                    <a:prstGeom prst="rect">
                      <a:avLst/>
                    </a:prstGeom>
                    <a:noFill/>
                    <a:ln w="9525">
                      <a:noFill/>
                      <a:headEnd/>
                      <a:tailEnd/>
                    </a:ln>
                  </pic:spPr>
                </pic:pic>
              </a:graphicData>
            </a:graphic>
          </wp:inline>
        </w:drawing>
      </w:r>
    </w:p>
    <w:p>
      <w:pPr>
        <w:pStyle w:val="BodyText"/>
      </w:pPr>
      <w:r>
        <w:rPr>
          <w:rFonts w:hint="eastAsia"/>
          <w:b/>
          <w:bCs/>
        </w:rPr>
        <w:t xml:space="preserve">图5.13</w:t>
      </w:r>
      <w:r>
        <w:t xml:space="preserve"> </w:t>
      </w:r>
      <w:r>
        <w:rPr>
          <w:rFonts w:hint="eastAsia"/>
        </w:rPr>
        <w:t xml:space="preserve">概率位器件上的储备池工作点。</w:t>
      </w:r>
      <m:oMath>
        <m:r>
          <m:rPr>
            <m:sty m:val="p"/>
          </m:rPr>
          <m:t>Δ</m:t>
        </m:r>
        <m:r>
          <m:rPr>
            <m:sty m:val="p"/>
          </m:rPr>
          <m:t>=</m:t>
        </m:r>
        <m:r>
          <m:t>4.91</m:t>
        </m:r>
      </m:oMath>
      <w:r>
        <w:rPr>
          <w:rFonts w:hint="eastAsia"/>
        </w:rPr>
        <w:t xml:space="preserve">下记忆容量随任务步长</w:t>
      </w:r>
      <m:oMath>
        <m:r>
          <m:rPr>
            <m:sty m:val="p"/>
          </m:rPr>
          <m:t>d</m:t>
        </m:r>
        <m:r>
          <m:t>t</m:t>
        </m:r>
      </m:oMath>
      <w:r>
        <w:rPr>
          <w:rFonts w:hint="eastAsia"/>
        </w:rPr>
        <w:t xml:space="preserve">的变化</w:t>
      </w:r>
      <w:r>
        <w:t xml:space="preserve"> </w:t>
      </w:r>
      <w:r>
        <w:rPr>
          <w:rFonts w:hint="eastAsia"/>
        </w:rPr>
        <w:t xml:space="preserve">(均值场曲线)，水平虚线为</w:t>
      </w:r>
      <m:oMath>
        <m:r>
          <m:rPr>
            <m:sty m:val="p"/>
          </m:rPr>
          <m:t>Δ</m:t>
        </m:r>
        <m:r>
          <m:rPr>
            <m:sty m:val="p"/>
          </m:rPr>
          <m:t>=</m:t>
        </m:r>
        <m:r>
          <m:t>4.1</m:t>
        </m:r>
      </m:oMath>
      <w:r>
        <w:t xml:space="preserve">、</w:t>
      </w:r>
      <m:oMath>
        <m:r>
          <m:rPr>
            <m:sty m:val="p"/>
          </m:rPr>
          <m:t>d</m:t>
        </m:r>
        <m:r>
          <m:t>t</m:t>
        </m:r>
        <m:r>
          <m:rPr>
            <m:sty m:val="p"/>
          </m:rPr>
          <m:t>=</m:t>
        </m:r>
        <m:r>
          <m:t>8</m:t>
        </m:r>
        <m:r>
          <m:t> </m:t>
        </m:r>
        <m:r>
          <m:rPr>
            <m:sty m:val="p"/>
          </m:rPr>
          <m:t>n</m:t>
        </m:r>
        <m:r>
          <m:rPr>
            <m:sty m:val="p"/>
          </m:rPr>
          <m:t>s</m:t>
        </m:r>
      </m:oMath>
      <w:r>
        <w:rPr>
          <w:rFonts w:hint="eastAsia"/>
        </w:rPr>
        <w:t xml:space="preserve">设计点的容量，竖虚线为时间尺度匹配律给出的</w:t>
      </w:r>
      <m:oMath>
        <m:r>
          <m:rPr>
            <m:sty m:val="p"/>
          </m:rPr>
          <m:t>d</m:t>
        </m:r>
        <m:sSup>
          <m:e>
            <m:r>
              <m:t>t</m:t>
            </m:r>
          </m:e>
          <m:sup>
            <m:r>
              <m:rPr>
                <m:sty m:val="p"/>
              </m:rPr>
              <m:t>*</m:t>
            </m:r>
          </m:sup>
        </m:sSup>
        <m:r>
          <m:rPr>
            <m:sty m:val="p"/>
          </m:rPr>
          <m:t>=</m:t>
        </m:r>
        <m:r>
          <m:t>τ</m:t>
        </m:r>
        <m:r>
          <m:rPr>
            <m:sty m:val="p"/>
          </m:rPr>
          <m:t>/</m:t>
        </m:r>
        <m:r>
          <m:t>2.3</m:t>
        </m:r>
      </m:oMath>
      <w:r>
        <w:rPr>
          <w:rFonts w:hint="eastAsia"/>
        </w:rPr>
        <w:t xml:space="preserve">；两个误差棒点为物理采样核验</w:t>
      </w:r>
      <w:r>
        <w:t xml:space="preserve"> </w:t>
      </w:r>
      <w:r>
        <w:rPr>
          <w:rFonts w:hint="eastAsia"/>
        </w:rPr>
        <w:t xml:space="preserve">(每节点96器件、3种子)——匹配时钟下的</w:t>
      </w:r>
      <m:oMath>
        <m:r>
          <m:rPr>
            <m:sty m:val="p"/>
          </m:rPr>
          <m:t>Δ</m:t>
        </m:r>
        <m:r>
          <m:rPr>
            <m:sty m:val="p"/>
          </m:rPr>
          <m:t>=</m:t>
        </m:r>
        <m:r>
          <m:t>4.91</m:t>
        </m:r>
      </m:oMath>
      <w:r>
        <w:rPr>
          <w:rFonts w:hint="eastAsia"/>
        </w:rPr>
        <w:t xml:space="preserve">与设计点的</w:t>
      </w:r>
      <m:oMath>
        <m:r>
          <m:rPr>
            <m:sty m:val="p"/>
          </m:rPr>
          <m:t>Δ</m:t>
        </m:r>
        <m:r>
          <m:rPr>
            <m:sty m:val="p"/>
          </m:rPr>
          <m:t>=</m:t>
        </m:r>
        <m:r>
          <m:t>4.1</m:t>
        </m:r>
      </m:oMath>
      <w:r>
        <w:rPr>
          <w:rFonts w:hint="eastAsia"/>
        </w:rPr>
        <w:t xml:space="preserve">，前者不低于后者。</w:t>
      </w:r>
    </w:p>
    <w:p>
      <w:pPr>
        <w:pStyle w:val="BodyText"/>
      </w:pPr>
      <w:r>
        <w:drawing>
          <wp:inline>
            <wp:extent cx="5334000" cy="2233006"/>
            <wp:effectExtent b="0" l="0" r="0" t="0"/>
            <wp:docPr descr="" title="" id="84" name="Picture"/>
            <a:graphic>
              <a:graphicData uri="http://schemas.openxmlformats.org/drawingml/2006/picture">
                <pic:pic>
                  <pic:nvPicPr>
                    <pic:cNvPr descr="figs/Chapter05_local_14.png" id="85" name="Picture"/>
                    <pic:cNvPicPr>
                      <a:picLocks noChangeArrowheads="1" noChangeAspect="1"/>
                    </pic:cNvPicPr>
                  </pic:nvPicPr>
                  <pic:blipFill>
                    <a:blip r:embed="rId83"/>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图5.14</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86"/>
    <w:bookmarkStart w:id="87" w:name="参考文献"/>
    <w:p>
      <w:pPr>
        <w:pStyle w:val="Heading2"/>
      </w:pPr>
      <w:r>
        <w:rPr>
          <w:rFonts w:hint="eastAsia"/>
        </w:rPr>
        <w:t xml:space="preserve">参考文献</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36">
    <w:p>
      <w:pPr>
        <w:pStyle w:val="FootnoteText"/>
      </w:pPr>
      <w:r>
        <w:rPr>
          <w:rStyle w:val="FootnoteReference"/>
        </w:rPr>
        <w:footnoteRef/>
      </w:r>
      <w:r>
        <w:t xml:space="preserve"> </w:t>
      </w:r>
      <w:r>
        <w:rPr>
          <w:rFonts w:hint="eastAsia"/>
        </w:rPr>
        <w:t xml:space="preserve">亮点基准数字的模式口径：Mackey-Glass单步NRMSE</w:t>
      </w:r>
      <w:r>
        <w:t xml:space="preserve"> 0.006 </w:t>
      </w:r>
      <w:r>
        <w:rPr>
          <w:rFonts w:hint="eastAsia"/>
        </w:rPr>
        <w:t xml:space="preserve">(5.5节)</w:t>
      </w:r>
      <w:r>
        <w:t xml:space="preserve"> </w:t>
      </w:r>
      <w:r>
        <w:rPr>
          <w:rFonts w:hint="eastAsia"/>
        </w:rPr>
        <w:t xml:space="preserve">为均值场上限所得；本节的记忆容量2.3与NARMA-10</w:t>
      </w:r>
      <w:r>
        <w:t xml:space="preserve"> NRMSE </w:t>
      </w:r>
      <w:r>
        <w:rPr>
          <w:rFonts w:hint="eastAsia"/>
        </w:rPr>
        <w:t xml:space="preserve">0.79为96器件集成的物理采样值。0.79应对照「以序列均值作预测」的平凡基线NRMSE=1来读：该任务在此集成规模下仅有边际预测能力，扩大集成或提高读出信噪比是其恢复途径</w:t>
      </w:r>
      <w:r>
        <w:t xml:space="preserve"> </w:t>
      </w:r>
      <w:r>
        <w:rPr>
          <w:rFonts w:hint="eastAsia"/>
        </w:rPr>
        <w:t xml:space="preserve">(图5.2(f))。</w:t>
      </w:r>
    </w:p>
  </w:footnote>
  <w:footnote w:id="44">
    <w:p>
      <w:pPr>
        <w:pStyle w:val="FootnoteText"/>
      </w:pPr>
      <w:r>
        <w:rPr>
          <w:rStyle w:val="FootnoteReference"/>
        </w:rPr>
        <w:footnoteRef/>
      </w:r>
      <w:r>
        <w:t xml:space="preserve"> </w:t>
      </w:r>
      <w:r>
        <w:rPr>
          <w:rFonts w:hint="eastAsia"/>
        </w:rPr>
        <w:t xml:space="preserve">本节温度轴经历一次口径订正：初版温度研究采用仅kT缩放的简化轴</w:t>
      </w:r>
      <w:r>
        <w:t xml:space="preserve"> </w:t>
      </w:r>
      <w:r>
        <w:rPr>
          <w:rFonts w:hint="eastAsia"/>
        </w:rPr>
        <w:t xml:space="preserve">(固定势垒)，第四章温度链完成后经交叉核对，确认其在高温端把弛豫时间高估约2倍；图5.4与正文数字现均按标定链重算</w:t>
      </w:r>
      <w:r>
        <w:t xml:space="preserve"> </w:t>
      </w:r>
      <w:r>
        <w:rPr>
          <w:rFonts w:hint="eastAsia"/>
        </w:rPr>
        <w:t xml:space="preserve">(未补偿漂移与补偿后残余由简化口径的2.33/0.17变为5.37/0.32)，定性结论</w:t>
      </w:r>
      <w:r>
        <w:t xml:space="preserve"> </w:t>
      </w:r>
      <w:r>
        <w:rPr>
          <w:rFonts w:hint="eastAsia"/>
        </w:rPr>
        <w:t xml:space="preserve">(强敏感性与时钟补偿有效性)</w:t>
      </w:r>
      <w:r>
        <w:t xml:space="preserve"> </w:t>
      </w:r>
      <w:r>
        <w:rPr>
          <w:rFonts w:hint="eastAsia"/>
        </w:rPr>
        <w:t xml:space="preserve">不变，且未补偿漂移在标定口径下更大、补偿的必要性更显著。</w:t>
      </w:r>
    </w:p>
  </w:footnote>
  <w:footnote w:id="51">
    <w:p>
      <w:pPr>
        <w:pStyle w:val="FootnoteText"/>
      </w:pPr>
      <w:r>
        <w:rPr>
          <w:rStyle w:val="FootnoteReference"/>
        </w:rPr>
        <w:footnoteRef/>
      </w:r>
      <w:r>
        <w:t xml:space="preserve"> </w:t>
      </w:r>
      <w:r>
        <w:rPr>
          <w:rFonts w:hint="eastAsia"/>
        </w:rPr>
        <w:t xml:space="preserve">三层判据的保证强度依次递减。逐行</w:t>
      </w:r>
      <m:oMath>
        <m:r>
          <m:rPr>
            <m:sty m:val="p"/>
          </m:rPr>
          <m:t>∞</m:t>
        </m:r>
      </m:oMath>
      <w:r>
        <w:rPr>
          <w:rFonts w:hint="eastAsia"/>
        </w:rPr>
        <w:t xml:space="preserve">-范数界是充分条件，取每个节点实际抽取的</w:t>
      </w:r>
      <m:oMath>
        <m:sSub>
          <m:e>
            <m:r>
              <m:rPr>
                <m:sty m:val="p"/>
              </m:rPr>
              <m:t>Δ</m:t>
            </m:r>
          </m:e>
          <m:sub>
            <m:r>
              <m:t>i</m:t>
            </m:r>
          </m:sub>
        </m:sSub>
      </m:oMath>
      <w:r>
        <w:rPr>
          <w:rFonts w:hint="eastAsia"/>
        </w:rPr>
        <w:t xml:space="preserve">与递归行范数，并在该偏置下的可达电压区间上取上确界。线性化谱判据以沿驱动轨迹逐节点最坏的保持因子与增益组装雅可比，其谱半径在任一方向都不构成界，只作指标：1681个格点中有3点判稳而实测不收缩，该指标又对输入驱动幅度敏感，本节扫描统一取默认输入尺度口径。孪生轨迹的尾段衰减率是必要条件的实证，一对孪生与一次输入实现无法排除共存的锁定吸引子。判据本身经历一次订正：初版以全电压域的均匀界给出充分条件，且孪生距离在两条轨迹合流处受数值地板扭曲，可能把深度收敛误判为不收缩；现版改用可达区间上的上确界与最后一个正距离点的对数斜率。</w:t>
      </w:r>
    </w:p>
  </w:footnote>
  <w:footnote w:id="52">
    <w:p>
      <w:pPr>
        <w:pStyle w:val="FootnoteText"/>
      </w:pPr>
      <w:r>
        <w:rPr>
          <w:rStyle w:val="FootnoteReference"/>
        </w:rPr>
        <w:footnoteRef/>
      </w:r>
      <w:r>
        <w:t xml:space="preserve"> </w:t>
      </w:r>
      <w:r>
        <w:rPr>
          <w:rFonts w:hint="eastAsia"/>
        </w:rPr>
        <w:t xml:space="preserve">随机模式的收敛口径：两组孪生系综共用同一随机数流</w:t>
      </w:r>
      <w:r>
        <w:t xml:space="preserve"> </w:t>
      </w:r>
      <w:r>
        <w:rPr>
          <w:rFonts w:hint="eastAsia"/>
        </w:rPr>
        <w:t xml:space="preserve">(电报模型的跳变抽样与状态无关，共同噪声因而可实现)，收敛量取逐节点系综均值在尾段的平均距离，并以独立噪声流的去相关基线为对照。无条件的随机回声状态性质在此平凡成立，各节点的两态马尔可夫链本身遍历、状态分布必然遗忘初值，因而不构成判据。高等效谱半径的双稳区内单次实现对种子敏感，随机模式的结论只就工作区间的低等效谱半径给出。</w:t>
      </w:r>
    </w:p>
  </w:footnote>
  <w:footnote w:id="60">
    <w:p>
      <w:pPr>
        <w:pStyle w:val="FootnoteText"/>
      </w:pPr>
      <w:r>
        <w:rPr>
          <w:rStyle w:val="FootnoteReference"/>
        </w:rPr>
        <w:footnoteRef/>
      </w:r>
      <w:r>
        <w:t xml:space="preserve"> </w:t>
      </w:r>
      <w:r>
        <w:rPr>
          <w:rFonts w:hint="eastAsia"/>
        </w:rPr>
        <w:t xml:space="preserve">亮点基准数字的模式口径：Mackey-Glass单步NRMSE</w:t>
      </w:r>
      <w:r>
        <w:t xml:space="preserve"> 0.006 </w:t>
      </w:r>
      <w:r>
        <w:rPr>
          <w:rFonts w:hint="eastAsia"/>
        </w:rPr>
        <w:t xml:space="preserve">(5.5节)</w:t>
      </w:r>
      <w:r>
        <w:t xml:space="preserve"> </w:t>
      </w:r>
      <w:r>
        <w:rPr>
          <w:rFonts w:hint="eastAsia"/>
        </w:rPr>
        <w:t xml:space="preserve">为均值场上限所得；本节的记忆容量2.3与NARMA-10</w:t>
      </w:r>
      <w:r>
        <w:t xml:space="preserve"> NRMSE </w:t>
      </w:r>
      <w:r>
        <w:rPr>
          <w:rFonts w:hint="eastAsia"/>
        </w:rPr>
        <w:t xml:space="preserve">0.79为96器件集成的物理采样值。0.79应对照「以序列均值作预测」的平凡基线NRMSE=1来读：该任务在此集成规模下仅有边际预测能力，扩大集成或提高读出信噪比是其恢复途径</w:t>
      </w:r>
      <w:r>
        <w:t xml:space="preserve"> </w:t>
      </w:r>
      <w:r>
        <w:rPr>
          <w:rFonts w:hint="eastAsia"/>
        </w:rPr>
        <w:t xml:space="preserve">(图5.2(f))。</w:t>
      </w:r>
    </w:p>
  </w:footnote>
  <w:footnote w:id="61">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65">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66">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67">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68">
        <w:r>
          <w:rPr>
            <w:rStyle w:val="Hyperlink"/>
          </w:rPr>
          <w:t xml:space="preserve">arXiv:2601.21807</w:t>
        </w:r>
      </w:hyperlink>
    </w:p>
  </w:footnote>
  <w:footnote w:id="79">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6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2026-07-22T08:01:42Z</dcterms:created>
  <dcterms:modified xsi:type="dcterms:W3CDTF">2026-07-22T08:01:42Z</dcterms:modified>
</cp:coreProperties>
</file>

<file path=docProps/custom.xml><?xml version="1.0" encoding="utf-8"?>
<Properties xmlns="http://schemas.openxmlformats.org/officeDocument/2006/custom-properties" xmlns:vt="http://schemas.openxmlformats.org/officeDocument/2006/docPropsVTypes"/>
</file>