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media/rId40.png" ContentType="image/png"/>
  <Override PartName="/word/media/rId43.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本章是全文主线的第三类任务评估。第三章把sMTJ抽象为伊辛自旋以承担组合优化，第四章把同一硬件单元转作PBNN的概率二值权重以承担前馈机器学习推断，本章则把同一颗器件用作储备池计算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交付的器件模型与同一仿真后端，差别仅在于上层如何使用器件的随机性。伊辛求解以全阵列同步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因而这一扩展并非简单地多增一类任务，而是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就是一个带可调时间常数的有状态系统，因而能够承担这一角色。本章不在RC算法层提出新结构，而是验证同一物理器件能否以可机理归因的方式承担这一范式，并集中回答两个面向工程的问题：该用法的硬件能效相对数字储备池处于何种位置，以及面向RC优化的sMTJ应落在怎样的器件参数区间。</w:t>
      </w:r>
    </w:p>
    <w:bookmarkStart w:id="12" w:name="X2c3693f1ea629acbd3653c39f4b741f2e98fe49"/>
    <w:p>
      <w:pPr>
        <w:pStyle w:val="Heading2"/>
      </w:pPr>
      <w:r>
        <w:t xml:space="preserve">5.1 </w:t>
      </w:r>
      <w:r>
        <w:rPr>
          <w:rFonts w:hint="eastAsia"/>
        </w:rPr>
        <w:t xml:space="preserve">sMTJ-RC的硬件工作原理</w:t>
      </w:r>
    </w:p>
    <w:p>
      <w:pPr>
        <w:pStyle w:val="FirstParagraph"/>
      </w:pPr>
      <w:r>
        <w:rPr>
          <w:rFonts w:hint="eastAsia"/>
        </w:rPr>
        <w:t xml:space="preserve">本节先把sMTJ如何充当储备池节点的物理图景叙述清楚，作为后续仿真器扩展的参照。储备池计算的三个要件，即高维投影、非线性与衰减记忆，在超顺磁sMTJ上分别由器件群体、热激活翻转的电压依赖性与磁矩弛豫时间承担。图5.1给出整体原理。</w:t>
      </w:r>
    </w:p>
    <w:p>
      <w:pPr>
        <w:pStyle w:val="BodyText"/>
      </w:pPr>
      <w:r>
        <w:drawing>
          <wp:inline>
            <wp:extent cx="5334000" cy="3772401"/>
            <wp:effectExtent b="0" l="0" r="0" t="0"/>
            <wp:docPr descr="" title="fig:" id="10" name="Picture"/>
            <a:graphic>
              <a:graphicData uri="http://schemas.openxmlformats.org/drawingml/2006/picture">
                <pic:pic>
                  <pic:nvPicPr>
                    <pic:cNvPr descr="D:\Documents\%E6%AF%95%E4%B8%9A%E8%AE%BE%E8%AE%A1-2026%E5%B9%B45%E6%9C%8810%E6%97%A5\04PBNN%E4%BB%BF%E7%9C%9F\smtj_pbnn_sim\article\figs\Chapter05_local_01.png" id="11" name="Picture"/>
                    <pic:cNvPicPr>
                      <a:picLocks noChangeArrowheads="1" noChangeAspect="1"/>
                    </pic:cNvPicPr>
                  </pic:nvPicPr>
                  <pic:blipFill>
                    <a:blip r:embed="rId9"/>
                    <a:stretch>
                      <a:fillRect/>
                    </a:stretch>
                  </pic:blipFill>
                  <pic:spPr bwMode="auto">
                    <a:xfrm>
                      <a:off x="0" y="0"/>
                      <a:ext cx="5334000" cy="3772401"/>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为偏置反向后的同一律。由此可闭式导出RC关心的两个量。其一是稳态均值，给出输入到状态的非线性传输关系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。其二是弛豫时间，即衰减记忆的时间常数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X8b4cbb38f556b06001e24393be160f126df2dc6"/>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(1.2.5节)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，它们在各自介质内已较成熟，但器件物理与能耗模型与本工作不通用。第四类是RC理论本身，回声状态网络与液体状态机奠定了固定随机储备池加训练读出的范式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直接采用。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6" w:name="X0fced55f049d481e37f9e7e33488642b087f1d9"/>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999208"/>
            <wp:effectExtent b="0" l="0" r="0" t="0"/>
            <wp:docPr descr="" title="fig:" id="34" name="Picture"/>
            <a:graphic>
              <a:graphicData uri="http://schemas.openxmlformats.org/drawingml/2006/picture">
                <pic:pic>
                  <pic:nvPicPr>
                    <pic:cNvPr descr="D:\Documents\%E6%AF%95%E4%B8%9A%E8%AE%BE%E8%AE%A1-2026%E5%B9%B45%E6%9C%8810%E6%97%A5\04PBNN%E4%BB%BF%E7%9C%9F\smtj_pbnn_sim\article\figs\Chapter05_local_02.png" id="35" name="Picture"/>
                    <pic:cNvPicPr>
                      <a:picLocks noChangeArrowheads="1" noChangeAspect="1"/>
                    </pic:cNvPicPr>
                  </pic:nvPicPr>
                  <pic:blipFill>
                    <a:blip r:embed="rId33"/>
                    <a:stretch>
                      <a:fillRect/>
                    </a:stretch>
                  </pic:blipFill>
                  <pic:spPr bwMode="auto">
                    <a:xfrm>
                      <a:off x="0" y="0"/>
                      <a:ext cx="5334000" cy="2999208"/>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均值场模式给出记忆容量约6.4，证明该储备池作为动力学系统的计算能力；真实随机采样在每节点96器件集成下记忆容量约2.3，NARMA-10的NRMSE约0.79。图5.2(d)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6"/>
    <w:bookmarkStart w:id="46" w:name="Xfc4c0f5761aae0ec08aa8c785bce0c5dd705a0d"/>
    <w:p>
      <w:pPr>
        <w:pStyle w:val="Heading2"/>
      </w:pPr>
      <w:r>
        <w:t xml:space="preserve">5.4 </w:t>
      </w:r>
      <w:r>
        <w:rPr>
          <w:rFonts w:hint="eastAsia"/>
        </w:rPr>
        <w:t xml:space="preserve">面向RC的器件优化与变异分析</w:t>
      </w:r>
    </w:p>
    <w:p>
      <w:pPr>
        <w:pStyle w:val="FirstParagraph"/>
      </w:pPr>
      <w:r>
        <w:rPr>
          <w:rFonts w:hint="eastAsia"/>
        </w:rPr>
        <w:t xml:space="preserve">本节是本章相对既有自旋电子RC工作的独特贡献。其目标不止于演示sMTJ能做RC，而是给出面向RC应当制造怎样的sMTJ这一定量且可交付工艺的结论。由于非递归储备池节点的记忆即其弛豫时间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是首要器件参数。本节全部在均值场模式下进行，使结论关于器件物理而非散粒噪声。</w:t>
      </w:r>
    </w:p>
    <w:p>
      <w:pPr>
        <w:pStyle w:val="BodyText"/>
      </w:pPr>
      <w:r>
        <w:drawing>
          <wp:inline>
            <wp:extent cx="5334000" cy="3820702"/>
            <wp:effectExtent b="0" l="0" r="0" t="0"/>
            <wp:docPr descr="" title="fig:" id="38" name="Picture"/>
            <a:graphic>
              <a:graphicData uri="http://schemas.openxmlformats.org/drawingml/2006/picture">
                <pic:pic>
                  <pic:nvPicPr>
                    <pic:cNvPr descr="D:\Documents\%E6%AF%95%E4%B8%9A%E8%AE%BE%E8%AE%A1-2026%E5%B9%B45%E6%9C%8810%E6%97%A5\04PBNN%E4%BB%BF%E7%9C%9F\smtj_pbnn_sim\article\figs\Chapter05_local_03.png" id="39" name="Picture"/>
                    <pic:cNvPicPr>
                      <a:picLocks noChangeArrowheads="1" noChangeAspect="1"/>
                    </pic:cNvPicPr>
                  </pic:nvPicPr>
                  <pic:blipFill>
                    <a:blip r:embed="rId37"/>
                    <a:stretch>
                      <a:fillRect/>
                    </a:stretch>
                  </pic:blipFill>
                  <pic:spPr bwMode="auto">
                    <a:xfrm>
                      <a:off x="0" y="0"/>
                      <a:ext cx="5334000" cy="382070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两项结论可直接交付器件设计。第一项是势垒匹配。在固定任务步长下，记忆容量随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。换言之，面向RC优化的sMTJ应比面向PBNN写操作优化的器件势垒更低，更接近超顺磁临界稳定区。第二项是时间尺度匹配：最优弛豫时间随任务步长近似线性增长，约为输入采样周期的二至三倍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820990"/>
            <wp:effectExtent b="0" l="0" r="0" t="0"/>
            <wp:docPr descr="" title="fig:" id="41" name="Picture"/>
            <a:graphic>
              <a:graphicData uri="http://schemas.openxmlformats.org/drawingml/2006/picture">
                <pic:pic>
                  <pic:nvPicPr>
                    <pic:cNvPr descr="D:\Documents\%E6%AF%95%E4%B8%9A%E8%AE%BE%E8%AE%A1-2026%E5%B9%B45%E6%9C%8810%E6%97%A5\04PBNN%E4%BB%BF%E7%9C%9F\smtj_pbnn_sim\article\figs\Chapter05_local_04.png" id="42" name="Picture"/>
                    <pic:cNvPicPr>
                      <a:picLocks noChangeArrowheads="1" noChangeAspect="1"/>
                    </pic:cNvPicPr>
                  </pic:nvPicPr>
                  <pic:blipFill>
                    <a:blip r:embed="rId40"/>
                    <a:stretch>
                      <a:fillRect/>
                    </a:stretch>
                  </pic:blipFill>
                  <pic:spPr bwMode="auto">
                    <a:xfrm>
                      <a:off x="0" y="0"/>
                      <a:ext cx="5334000" cy="3820990"/>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181</m:t>
        </m:r>
        <m:r>
          <m:t> </m:t>
        </m:r>
        <m:r>
          <m:rPr>
            <m:sty m:val="p"/>
          </m:rPr>
          <m:t>n</m:t>
        </m:r>
        <m:r>
          <m:rPr>
            <m:sty m:val="p"/>
          </m:rPr>
          <m:t>s</m:t>
        </m:r>
      </m:oMath>
      <w:r>
        <w:rPr>
          <w:rFonts w:hint="eastAsia"/>
        </w:rPr>
        <w:t xml:space="preserve">降至约</w:t>
      </w:r>
      <m:oMath>
        <m:r>
          <m:t>18</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K间漂移达2.33，而当储备池更新步长随温度按匹配关系调整后，漂移压缩至0.17。这给出一个简单的器件操作配方：无需改变器件，只需令系统时钟跟随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，即可在宽温区保持接近最优的性能。该结论也回连第二章的器件设计，若目标工作温区已知，可据匹配关系反推应制造的势垒高度。</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811218"/>
            <wp:effectExtent b="0" l="0" r="0" t="0"/>
            <wp:docPr descr="" title="fig:" id="44" name="Picture"/>
            <a:graphic>
              <a:graphicData uri="http://schemas.openxmlformats.org/drawingml/2006/picture">
                <pic:pic>
                  <pic:nvPicPr>
                    <pic:cNvPr descr="D:\Documents\%E6%AF%95%E4%B8%9A%E8%AE%BE%E8%AE%A1-2026%E5%B9%B45%E6%9C%8810%E6%97%A5\04PBNN%E4%BB%BF%E7%9C%9F\smtj_pbnn_sim\article\figs\Chapter05_local_05.png" id="45" name="Picture"/>
                    <pic:cNvPicPr>
                      <a:picLocks noChangeArrowheads="1" noChangeAspect="1"/>
                    </pic:cNvPicPr>
                  </pic:nvPicPr>
                  <pic:blipFill>
                    <a:blip r:embed="rId43"/>
                    <a:stretch>
                      <a:fillRect/>
                    </a:stretch>
                  </pic:blipFill>
                  <pic:spPr bwMode="auto">
                    <a:xfrm>
                      <a:off x="0" y="0"/>
                      <a:ext cx="5334000" cy="3811218"/>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对</w:t>
      </w:r>
      <m:oMath>
        <m:sSub>
          <m:e>
            <m:r>
              <m:t>V</m:t>
            </m:r>
          </m:e>
          <m:sub>
            <m:r>
              <m:t>c</m:t>
            </m:r>
            <m:r>
              <m:t>0</m:t>
            </m:r>
          </m:sub>
        </m:sSub>
      </m:oMath>
      <w:r>
        <w:rPr>
          <w:rFonts w:hint="eastAsia"/>
        </w:rPr>
        <w:t xml:space="preserve">变异在较大范围内不敏感，直至器件失稳；(c)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bookmarkEnd w:id="46"/>
    <w:bookmarkStart w:id="53" w:name="Xe2a3f1b1aa575c0cb974114346a118e6d81fbc7"/>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3806953"/>
            <wp:effectExtent b="0" l="0" r="0" t="0"/>
            <wp:docPr descr="" title="fig:" id="48" name="Picture"/>
            <a:graphic>
              <a:graphicData uri="http://schemas.openxmlformats.org/drawingml/2006/picture">
                <pic:pic>
                  <pic:nvPicPr>
                    <pic:cNvPr descr="D:\Documents\%E6%AF%95%E4%B8%9A%E8%AE%BE%E8%AE%A1-2026%E5%B9%B45%E6%9C%8810%E6%97%A5\04PBNN%E4%BB%BF%E7%9C%9F\smtj_pbnn_sim\article\figs\Chapter05_local_06.png" id="49" name="Picture"/>
                    <pic:cNvPicPr>
                      <a:picLocks noChangeArrowheads="1" noChangeAspect="1"/>
                    </pic:cNvPicPr>
                  </pic:nvPicPr>
                  <pic:blipFill>
                    <a:blip r:embed="rId47"/>
                    <a:stretch>
                      <a:fillRect/>
                    </a:stretch>
                  </pic:blipFill>
                  <pic:spPr bwMode="auto">
                    <a:xfrm>
                      <a:off x="0" y="0"/>
                      <a:ext cx="5334000" cy="3806953"/>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信息处理容量按多项式阶分解</w:t>
      </w:r>
      <w:r>
        <w:t xml:space="preserve"> </w:t>
      </w:r>
      <w:r>
        <w:rPr>
          <w:rFonts w:hint="eastAsia"/>
        </w:rPr>
        <w:t xml:space="preserve">(线性、二次、三次)，均值场与真实器件对比；(d)</w:t>
      </w:r>
      <w:r>
        <w:t xml:space="preserve"> </w:t>
      </w:r>
      <w:r>
        <w:rPr>
          <w:rFonts w:hint="eastAsia"/>
        </w:rPr>
        <w:t xml:space="preserve">总处理容量随工作点偏置的分配。</w:t>
      </w:r>
    </w:p>
    <w:p>
      <w:pPr>
        <w:pStyle w:val="BodyText"/>
      </w:pPr>
      <w:r>
        <w:rPr>
          <w:rFonts w:hint="eastAsia"/>
        </w:rPr>
        <w:t xml:space="preserve">Mackey-Glass单步预测NRMSE低至0.006，随预测步长增至约0.04，表明储备池能稳定承载混沌动力学的短时预测。容量分解</w:t>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逐步释放，线性容量相应让渡，总容量大致守恒。这把5.4节的记忆与非线性权衡从单一乘积任务推广到完整的多项式容量谱，说明工作点偏置是在固定器件上重新分配记忆与非线性预算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3805731"/>
            <wp:effectExtent b="0" l="0" r="0" t="0"/>
            <wp:docPr descr="" title="fig:" id="51" name="Picture"/>
            <a:graphic>
              <a:graphicData uri="http://schemas.openxmlformats.org/drawingml/2006/picture">
                <pic:pic>
                  <pic:nvPicPr>
                    <pic:cNvPr descr="D:\Documents\%E6%AF%95%E4%B8%9A%E8%AE%BE%E8%AE%A1-2026%E5%B9%B45%E6%9C%8810%E6%97%A5\04PBNN%E4%BB%BF%E7%9C%9F\smtj_pbnn_sim\article\figs\Chapter05_local_07.png" id="52" name="Picture"/>
                    <pic:cNvPicPr>
                      <a:picLocks noChangeArrowheads="1" noChangeAspect="1"/>
                    </pic:cNvPicPr>
                  </pic:nvPicPr>
                  <pic:blipFill>
                    <a:blip r:embed="rId50"/>
                    <a:stretch>
                      <a:fillRect/>
                    </a:stretch>
                  </pic:blipFill>
                  <pic:spPr bwMode="auto">
                    <a:xfrm>
                      <a:off x="0" y="0"/>
                      <a:ext cx="5334000" cy="3805731"/>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、1000步推理下，sMTJ-RC约</w:t>
      </w:r>
      <m:oMath>
        <m:r>
          <m:t>271</m:t>
        </m:r>
        <m:r>
          <m:t> </m:t>
        </m:r>
        <m:r>
          <m:rPr>
            <m:sty m:val="p"/>
          </m:rPr>
          <m:t>n</m:t>
        </m:r>
        <m:r>
          <m:rPr>
            <m:sty m:val="p"/>
          </m:rPr>
          <m:t>J</m:t>
        </m:r>
      </m:oMath>
      <w:r>
        <w:rPr>
          <w:rFonts w:hint="eastAsia"/>
        </w:rPr>
        <w:t xml:space="preserve">，较常规数字ESN</w:t>
      </w:r>
      <w:r>
        <w:t xml:space="preserve"> </w:t>
      </w:r>
      <w:r>
        <w:rPr>
          <w:rFonts w:hint="eastAsia"/>
        </w:rPr>
        <w:t xml:space="preserve">(约</w:t>
      </w:r>
      <m:oMath>
        <m:r>
          <m:t>10</m:t>
        </m:r>
        <m:r>
          <m:t> </m:t>
        </m:r>
        <m:r>
          <m:t>204</m:t>
        </m:r>
        <m:r>
          <m:t> </m:t>
        </m:r>
        <m:r>
          <m:rPr>
            <m:sty m:val="p"/>
          </m:rPr>
          <m:t>n</m:t>
        </m:r>
        <m:r>
          <m:rPr>
            <m:sty m:val="p"/>
          </m:rPr>
          <m:t>J</m:t>
        </m:r>
      </m:oMath>
      <w:r>
        <w:rPr>
          <w:rFonts w:hint="eastAsia"/>
        </w:rPr>
        <w:t xml:space="preserve">，按1</w:t>
      </w:r>
      <w:r>
        <w:t xml:space="preserve"> </w:t>
      </w:r>
      <w:r>
        <w:rPr>
          <w:rFonts w:hint="eastAsia"/>
        </w:rPr>
        <w:t xml:space="preserve">pJ每次乘加计)</w:t>
      </w:r>
      <w:r>
        <w:t xml:space="preserve"> </w:t>
      </w:r>
      <w:r>
        <w:rPr>
          <w:rFonts w:hint="eastAsia"/>
        </w:rPr>
        <w:t xml:space="preserve">低约38倍，按单位记忆容量能耗计低约一个数量级</w:t>
      </w:r>
      <w:r>
        <w:t xml:space="preserve"> </w:t>
      </w:r>
      <w:r>
        <w:rPr>
          <w:rFonts w:hint="eastAsia"/>
        </w:rPr>
        <w:t xml:space="preserve">(206对2140</w:t>
      </w:r>
      <w:r>
        <w:t xml:space="preserve"> </w:t>
      </w:r>
      <w:r>
        <w:rPr>
          <w:rFonts w:hint="eastAsia"/>
        </w:rPr>
        <w:t xml:space="preserve">nJ)。又因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(图5.7(c))。需要诚实指出，一个忽略ADC开销的理想存内计算ESN下界仍低于sMTJ-RC，故该优势是相对冯诺依曼式数字ESN而言，而非相对最激进的模拟存内计算。图5.7(d)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具备明确优势。</w:t>
      </w:r>
    </w:p>
    <w:bookmarkEnd w:id="53"/>
    <w:bookmarkStart w:id="54" w:name="Xcaaba4a8071824c394fe34912acc8d64f805d47"/>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同一颗第二章器件以随机电报动力学运行时，在记忆容量与混沌预测等标准基准上具备实在的计算能力，记忆来源于磁矩弛豫时间这一可由电压指数调控的物理量。第二，器件优化方面，面向RC的sMTJ应比PBNN写器件势垒更低</w:t>
      </w:r>
      <w:r>
        <w:t xml:space="preserve"> </w:t>
      </w:r>
      <w:r>
        <w:rPr>
          <w:rFonts w:hint="eastAsia"/>
        </w:rPr>
        <w:t xml:space="preserve">(本工作工作点下最优</w:t>
      </w:r>
      <m:oMath>
        <m:r>
          <m:rPr>
            <m:sty m:val="p"/>
          </m:rPr>
          <m:t>Δ</m:t>
        </m:r>
      </m:oMath>
      <w:r>
        <w:rPr>
          <w:rFonts w:hint="eastAsia"/>
        </w:rPr>
        <w:t xml:space="preserve">约为4，平缓高原覆盖3.5至4.3，对</w:t>
      </w:r>
      <m:oMath>
        <m:r>
          <m:t>4.91</m:t>
        </m:r>
      </m:oMath>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本章结论受三方面条件约束。其一，散粒噪声与面积的权衡尚未在更省的读出方案</w:t>
      </w:r>
      <w:r>
        <w:t xml:space="preserve"> </w:t>
      </w:r>
      <w:r>
        <w:rPr>
          <w:rFonts w:hint="eastAsia"/>
        </w:rPr>
        <w:t xml:space="preserve">(速率读出、长积分窗、概率域读出)</w:t>
      </w:r>
      <w:r>
        <w:t xml:space="preserve"> </w:t>
      </w:r>
      <w:r>
        <w:rPr>
          <w:rFonts w:hint="eastAsia"/>
        </w:rPr>
        <w:t xml:space="preserve">下充分探索，这关系到sMTJ-RC能否在更广场景胜过数字基线。其二，递归耦合在本章以数值矩阵实现，其物理形态</w:t>
      </w:r>
      <w:r>
        <w:t xml:space="preserve"> </w:t>
      </w:r>
      <w:r>
        <w:rPr>
          <w:rFonts w:hint="eastAsia"/>
        </w:rPr>
        <w:t xml:space="preserve">(偶极场或共享电流线)</w:t>
      </w:r>
      <w:r>
        <w:t xml:space="preserve"> </w:t>
      </w:r>
      <w:r>
        <w:rPr>
          <w:rFonts w:hint="eastAsia"/>
        </w:rPr>
        <w:t xml:space="preserve">的保真度与面积代价需在阵列层进一步评估。其三，器件随机性相对确定性ESN更可能是代价而非优势，本章已明确区分sMTJ-RC占优的指标</w:t>
      </w:r>
      <w:r>
        <w:t xml:space="preserve"> </w:t>
      </w:r>
      <w:r>
        <w:rPr>
          <w:rFonts w:hint="eastAsia"/>
        </w:rPr>
        <w:t xml:space="preserve">(能量、面积、对工艺变异的容忍)</w:t>
      </w:r>
      <w:r>
        <w:t xml:space="preserve"> </w:t>
      </w:r>
      <w:r>
        <w:rPr>
          <w:rFonts w:hint="eastAsia"/>
        </w:rPr>
        <w:t xml:space="preserve">与不占优的指标</w:t>
      </w:r>
      <w:r>
        <w:t xml:space="preserve"> </w:t>
      </w:r>
      <w:r>
        <w:rPr>
          <w:rFonts w:hint="eastAsia"/>
        </w:rPr>
        <w:t xml:space="preserve">(绝对精度)，不作过度宣称。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值得强调的是，前两类任务利用的是器件的瞬时随机性，本章则进一步把可用资源延伸到器件的时域动力学，因而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54"/>
    <w:bookmarkStart w:id="55" w:name="参考文献"/>
    <w:p>
      <w:pPr>
        <w:pStyle w:val="Heading2"/>
      </w:pPr>
      <w:r>
        <w:rPr>
          <w:rFonts w:hint="eastAsia"/>
        </w:rPr>
        <w:t xml:space="preserve">参考文献</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2026-05-28T05:01:03Z</dcterms:created>
  <dcterms:modified xsi:type="dcterms:W3CDTF">2026-05-28T05:01:03Z</dcterms:modified>
</cp:coreProperties>
</file>

<file path=docProps/custom.xml><?xml version="1.0" encoding="utf-8"?>
<Properties xmlns="http://schemas.openxmlformats.org/officeDocument/2006/custom-properties" xmlns:vt="http://schemas.openxmlformats.org/officeDocument/2006/docPropsVTypes"/>
</file>