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7.png" ContentType="image/png"/>
  <Override PartName="/word/media/rId6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72401"/>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72401"/>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给出了量化记忆与非线性的标准指标；本章采用线性记忆容量，并据信息处理容量的思想，以各阶延迟单项式的保留</w:t>
      </w:r>
      <m:oMath>
        <m:sSup>
          <m:e>
            <m:r>
              <m:t>r</m:t>
            </m:r>
          </m:e>
          <m:sup>
            <m:r>
              <m:t>2</m:t>
            </m:r>
          </m:sup>
        </m:sSup>
      </m:oMath>
      <w:r>
        <w:rPr>
          <w:rFonts w:hint="eastAsia"/>
        </w:rPr>
        <w:t xml:space="preserve">之和作为处理容量的实用代理（非其正交化原型，详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999208"/>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999208"/>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82070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82070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820990"/>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82099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811218"/>
            <wp:effectExtent b="0" l="0" r="0" t="0"/>
            <wp:docPr descr="" title="" id="44" name="Picture"/>
            <a:graphic>
              <a:graphicData uri="http://schemas.openxmlformats.org/drawingml/2006/picture">
                <pic:pic>
                  <pic:nvPicPr>
                    <pic:cNvPr descr="figs/Chapter05_local_05.png" id="45" name="Picture"/>
                    <pic:cNvPicPr>
                      <a:picLocks noChangeArrowheads="1" noChangeAspect="1"/>
                    </pic:cNvPicPr>
                  </pic:nvPicPr>
                  <pic:blipFill>
                    <a:blip r:embed="rId43"/>
                    <a:stretch>
                      <a:fillRect/>
                    </a:stretch>
                  </pic:blipFill>
                  <pic:spPr bwMode="auto">
                    <a:xfrm>
                      <a:off x="0" y="0"/>
                      <a:ext cx="5334000" cy="3811218"/>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3"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06953"/>
            <wp:effectExtent b="0" l="0" r="0" t="0"/>
            <wp:docPr descr="" title="" id="48" name="Picture"/>
            <a:graphic>
              <a:graphicData uri="http://schemas.openxmlformats.org/drawingml/2006/picture">
                <pic:pic>
                  <pic:nvPicPr>
                    <pic:cNvPr descr="figs/Chapter05_local_06.png" id="49" name="Picture"/>
                    <pic:cNvPicPr>
                      <a:picLocks noChangeArrowheads="1" noChangeAspect="1"/>
                    </pic:cNvPicPr>
                  </pic:nvPicPr>
                  <pic:blipFill>
                    <a:blip r:embed="rId47"/>
                    <a:stretch>
                      <a:fillRect/>
                    </a:stretch>
                  </pic:blipFill>
                  <pic:spPr bwMode="auto">
                    <a:xfrm>
                      <a:off x="0" y="0"/>
                      <a:ext cx="5334000" cy="380695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处理容量代理（各阶延迟单项式的保留</w:t>
      </w:r>
      <m:oMath>
        <m:sSup>
          <m:e>
            <m:r>
              <m:t>r</m:t>
            </m:r>
          </m:e>
          <m:sup>
            <m:r>
              <m:t>2</m:t>
            </m:r>
          </m:sup>
        </m:sSup>
      </m:oMath>
      <w:r>
        <w:rPr>
          <w:rFonts w:hint="eastAsia"/>
        </w:rPr>
        <w:t xml:space="preserve">之和）按多项式阶分解</w:t>
      </w:r>
      <w:r>
        <w:t xml:space="preserve"> </w:t>
      </w:r>
      <w:r>
        <w:rPr>
          <w:rFonts w:hint="eastAsia"/>
        </w:rPr>
        <w:t xml:space="preserve">(线性、二次、三次)，均值场与真实器件对比；(d)</w:t>
      </w:r>
      <w:r>
        <w:t xml:space="preserve"> </w:t>
      </w:r>
      <w:r>
        <w:rPr>
          <w:rFonts w:hint="eastAsia"/>
        </w:rPr>
        <w:t xml:space="preserve">总容量随工作点偏置的分配。</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逐步释放，线性容量相应让出，总容量大致守恒。这把5.4节的记忆与非线性权衡从单一乘积任务推广到完整的多项式容量谱，说明工作点偏置是在固定器件上重新分配记忆与非线性预算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805731"/>
            <wp:effectExtent b="0" l="0" r="0" t="0"/>
            <wp:docPr descr="" title="" id="52" name="Picture"/>
            <a:graphic>
              <a:graphicData uri="http://schemas.openxmlformats.org/drawingml/2006/picture">
                <pic:pic>
                  <pic:nvPicPr>
                    <pic:cNvPr descr="figs/Chapter05_local_07.png" id="53" name="Picture"/>
                    <pic:cNvPicPr>
                      <a:picLocks noChangeArrowheads="1" noChangeAspect="1"/>
                    </pic:cNvPicPr>
                  </pic:nvPicPr>
                  <pic:blipFill>
                    <a:blip r:embed="rId51"/>
                    <a:stretch>
                      <a:fillRect/>
                    </a:stretch>
                  </pic:blipFill>
                  <pic:spPr bwMode="auto">
                    <a:xfrm>
                      <a:off x="0" y="0"/>
                      <a:ext cx="5334000" cy="380573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、1000步推理下，sMTJ-RC的读出能量以提取的sky130</w:t>
      </w:r>
      <w:r>
        <w:t xml:space="preserve"> </w:t>
      </w:r>
      <w:r>
        <w:rPr>
          <w:rFonts w:hint="eastAsia"/>
        </w:rPr>
        <w:t xml:space="preserve">StrongARM比较器与电容数模阵列标定的逐次逼近转换为准、不再视为无代价</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上述能量对比把读出连同模数转换计入，其底层是一处值得单独说明的协同设计。原储备池能量模型把读出视为近乎无代价，而读出精度实为记忆容量的限制者，二者矛盾。把模数转换能量以提取的sky130</w:t>
      </w:r>
      <w:r>
        <w:t xml:space="preserve"> </w:t>
      </w:r>
      <w:r>
        <w:rPr>
          <w:rFonts w:hint="eastAsia"/>
        </w:rPr>
        <w:t xml:space="preserve">StrongARM比较器作逐次逼近转换器的比较器项、电容数模阵列的开关能量以sky130单位电容标定后，读出确非无代价：比较器即使3位分辨也已占储备池总能量近九成</w:t>
      </w:r>
      <w:r>
        <w:t xml:space="preserve"> </w:t>
      </w:r>
      <w:r>
        <w:rPr>
          <w:rFonts w:hint="eastAsia"/>
        </w:rPr>
        <w:t xml:space="preserve">(图5.9)；但比较器项随位数线性增长，故分辨率的能量惩罚温和。对集成式储备池而言低至中等分辨读出即足这一结论本身在近期工作中已有报道</w:t>
      </w:r>
      <w:r>
        <w:rPr>
          <w:rStyle w:val="FootnoteReference"/>
        </w:rPr>
        <w:footnoteReference w:id="55"/>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58" name="Picture"/>
            <a:graphic>
              <a:graphicData uri="http://schemas.openxmlformats.org/drawingml/2006/picture">
                <pic:pic>
                  <pic:nvPicPr>
                    <pic:cNvPr descr="figs/Chapter05_local_08.png" id="59" name="Picture"/>
                    <pic:cNvPicPr>
                      <a:picLocks noChangeArrowheads="1" noChangeAspect="1"/>
                    </pic:cNvPicPr>
                  </pic:nvPicPr>
                  <pic:blipFill>
                    <a:blip r:embed="rId57"/>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822410"/>
            <wp:effectExtent b="0" l="0" r="0" t="0"/>
            <wp:docPr descr="" title="" id="61" name="Picture"/>
            <a:graphic>
              <a:graphicData uri="http://schemas.openxmlformats.org/drawingml/2006/picture">
                <pic:pic>
                  <pic:nvPicPr>
                    <pic:cNvPr descr="figs/Chapter05_local_09.png" id="62" name="Picture"/>
                    <pic:cNvPicPr>
                      <a:picLocks noChangeArrowheads="1" noChangeAspect="1"/>
                    </pic:cNvPicPr>
                  </pic:nvPicPr>
                  <pic:blipFill>
                    <a:blip r:embed="rId60"/>
                    <a:stretch>
                      <a:fillRect/>
                    </a:stretch>
                  </pic:blipFill>
                  <pic:spPr bwMode="auto">
                    <a:xfrm>
                      <a:off x="0" y="0"/>
                      <a:ext cx="5334000" cy="1822410"/>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3"/>
    <w:bookmarkStart w:id="71"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4"/>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本章结论受三方面条件约束。其一，散粒噪声与面积的权衡尚未在更省的读出方案</w:t>
      </w:r>
      <w:r>
        <w:t xml:space="preserve"> </w:t>
      </w:r>
      <w:r>
        <w:rPr>
          <w:rFonts w:hint="eastAsia"/>
        </w:rPr>
        <w:t xml:space="preserve">(速率读出、长积分窗、概率域读出)</w:t>
      </w:r>
      <w:r>
        <w:t xml:space="preserve"> </w:t>
      </w:r>
      <w:r>
        <w:rPr>
          <w:rFonts w:hint="eastAsia"/>
        </w:rPr>
        <w:t xml:space="preserve">下充分探索，这关系到sMTJ-RC能否在更广的场景下胜过数字基线。其二，递归耦合在本章以数值矩阵实现，其物理形态</w:t>
      </w:r>
      <w:r>
        <w:t xml:space="preserve"> </w:t>
      </w:r>
      <w:r>
        <w:rPr>
          <w:rFonts w:hint="eastAsia"/>
        </w:rPr>
        <w:t xml:space="preserve">(偶极场或共享电流线)</w:t>
      </w:r>
      <w:r>
        <w:t xml:space="preserve"> </w:t>
      </w:r>
      <w:r>
        <w:rPr>
          <w:rFonts w:hint="eastAsia"/>
        </w:rPr>
        <w:t xml:space="preserve">的保真度与面积代价需在阵列层进一步评估。其三，相对于确定性ESN，器件随机性更可能是代价而非优势，本章已明确区分sMTJ-RC占优的指标</w:t>
      </w:r>
      <w:r>
        <w:t xml:space="preserve"> </w:t>
      </w:r>
      <w:r>
        <w:rPr>
          <w:rFonts w:hint="eastAsia"/>
        </w:rPr>
        <w:t xml:space="preserve">(能量、面积、对工艺变异的容忍)</w:t>
      </w:r>
      <w:r>
        <w:t xml:space="preserve"> </w:t>
      </w:r>
      <w:r>
        <w:rPr>
          <w:rFonts w:hint="eastAsia"/>
        </w:rPr>
        <w:t xml:space="preserve">与不占优的指标</w:t>
      </w:r>
      <w:r>
        <w:t xml:space="preserve"> </w:t>
      </w:r>
      <w:r>
        <w:rPr>
          <w:rFonts w:hint="eastAsia"/>
        </w:rPr>
        <w:t xml:space="preserve">(绝对精度)，不作过度宣称。</w:t>
      </w:r>
    </w:p>
    <w:p>
      <w:pPr>
        <w:pStyle w:val="BodyText"/>
      </w:pPr>
      <w:r>
        <w:rPr>
          <w:rFonts w:hint="eastAsia"/>
        </w:rPr>
        <w:t xml:space="preserve">把同一物理阵列以时分复用同时承担概率位推断与储备池处理，还要求两种模式取不同的热稳定因子：概率位取</w:t>
      </w:r>
      <m:oMath>
        <m:r>
          <m:rPr>
            <m:sty m:val="p"/>
          </m:rPr>
          <m:t>Δ</m:t>
        </m:r>
        <m:r>
          <m:rPr>
            <m:sty m:val="p"/>
          </m:rPr>
          <m:t>=</m:t>
        </m:r>
        <m:r>
          <m:t>4.91</m:t>
        </m:r>
      </m:oMath>
      <w:r>
        <w:t xml:space="preserve"> </w:t>
      </w:r>
      <w:r>
        <w:rPr>
          <w:rFonts w:hint="eastAsia"/>
        </w:rPr>
        <w:t xml:space="preserve">(零偏弛豫约68</w:t>
      </w:r>
      <w:r>
        <w:t xml:space="preserve"> </w:t>
      </w:r>
      <w:r>
        <w:rPr>
          <w:rFonts w:hint="eastAsia"/>
        </w:rPr>
        <w:t xml:space="preserve">ns)，储备池取</w:t>
      </w:r>
      <m:oMath>
        <m:r>
          <m:rPr>
            <m:sty m:val="p"/>
          </m:rPr>
          <m:t>Δ</m:t>
        </m:r>
        <m:r>
          <m:rPr>
            <m:sty m:val="p"/>
          </m:rPr>
          <m:t>≈</m:t>
        </m:r>
        <m:r>
          <m:t>3.8</m:t>
        </m:r>
      </m:oMath>
      <w:r>
        <w:t xml:space="preserve"> </w:t>
      </w:r>
      <w:r>
        <w:rPr>
          <w:rFonts w:hint="eastAsia"/>
        </w:rPr>
        <w:t xml:space="preserve">(约22</w:t>
      </w:r>
      <w:r>
        <w:t xml:space="preserve"> </w:t>
      </w:r>
      <w:r>
        <w:rPr>
          <w:rFonts w:hint="eastAsia"/>
        </w:rPr>
        <w:t xml:space="preserve">ns)。一块固定器件不能同时是两个势垒，时分复用需约22.6%的势垒摆幅</w:t>
      </w:r>
      <w:r>
        <w:t xml:space="preserve"> (</w:t>
      </w:r>
      <m:oMath>
        <m:r>
          <m:rPr>
            <m:sty m:val="p"/>
          </m:rPr>
          <m:t>Δ</m:t>
        </m:r>
        <m:sSub>
          <m:e>
            <m:r>
              <m:t>E</m:t>
            </m:r>
          </m:e>
          <m:sub>
            <m:r>
              <m:t>b</m:t>
            </m:r>
          </m:sub>
        </m:sSub>
        <m:r>
          <m:rPr>
            <m:sty m:val="p"/>
          </m:rPr>
          <m:t>≈</m:t>
        </m:r>
        <m:r>
          <m:t>28.7</m:t>
        </m:r>
        <m:r>
          <m:t> </m:t>
        </m:r>
        <m:r>
          <m:rPr>
            <m:sty m:val="p"/>
          </m:rPr>
          <m:t>m</m:t>
        </m:r>
        <m:r>
          <m:rPr>
            <m:sty m:val="p"/>
          </m:rPr>
          <m:t>e</m:t>
        </m:r>
        <m:r>
          <m:rPr>
            <m:sty m:val="p"/>
          </m:rPr>
          <m:t>V</m:t>
        </m:r>
      </m:oMath>
      <w:r>
        <w:rPr>
          <w:rFonts w:hint="eastAsia"/>
        </w:rPr>
        <w:t xml:space="preserve">)，可经电压控制磁各向异性栅</w:t>
      </w:r>
      <w:r>
        <w:rPr>
          <w:rStyle w:val="FootnoteReference"/>
        </w:rPr>
        <w:footnoteReference w:id="65"/>
      </w:r>
      <w:r>
        <w:rPr>
          <w:rFonts w:hint="eastAsia"/>
        </w:rPr>
        <w:t xml:space="preserve">或约88</w:t>
      </w:r>
      <w:r>
        <w:t xml:space="preserve"> </w:t>
      </w:r>
      <w:r>
        <w:rPr>
          <w:rFonts w:hint="eastAsia"/>
        </w:rPr>
        <w:t xml:space="preserve">K温升达到。该提案有三个限制：两种模式在时间上互斥；储备池所需的低势垒与概率位的写保持及读扰动相冲突；尚无在同一物理阵列上时分复用概率位写入与储备池自由演化的实现，已报道的电压可调随机性器件主要是脉冲驱动稳定pMTJ得到的可调随机电报噪声</w:t>
      </w:r>
      <w:r>
        <w:rPr>
          <w:rStyle w:val="FootnoteReference"/>
        </w:rPr>
        <w:footnoteReference w:id="66"/>
      </w:r>
      <w:r>
        <w:rPr>
          <w:rFonts w:hint="eastAsia"/>
        </w:rPr>
        <w:t xml:space="preserve">，并非概率位与储备池双模阵列。因此该统一阵列应作为受限的、电压栅控的、时分复用的架构提案陈述，并附上述量化调谐包络与势垒冲突这一限制。</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611235"/>
            <wp:effectExtent b="0" l="0" r="0" t="0"/>
            <wp:docPr descr="" title="" id="69" name="Picture"/>
            <a:graphic>
              <a:graphicData uri="http://schemas.openxmlformats.org/drawingml/2006/picture">
                <pic:pic>
                  <pic:nvPicPr>
                    <pic:cNvPr descr="figs/Chapter05_local_10.png" id="70" name="Picture"/>
                    <pic:cNvPicPr>
                      <a:picLocks noChangeArrowheads="1" noChangeAspect="1"/>
                    </pic:cNvPicPr>
                  </pic:nvPicPr>
                  <pic:blipFill>
                    <a:blip r:embed="rId68"/>
                    <a:stretch>
                      <a:fillRect/>
                    </a:stretch>
                  </pic:blipFill>
                  <pic:spPr bwMode="auto">
                    <a:xfrm>
                      <a:off x="0" y="0"/>
                      <a:ext cx="5334000" cy="2611235"/>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71"/>
    <w:bookmarkStart w:id="72" w:name="参考文献"/>
    <w:p>
      <w:pPr>
        <w:pStyle w:val="Heading2"/>
      </w:pPr>
      <w:r>
        <w:rPr>
          <w:rFonts w:hint="eastAsia"/>
        </w:rPr>
        <w:t xml:space="preserve">参考文献</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此处以各阶延迟单项式的保留</w:t>
      </w:r>
      <m:oMath>
        <m:sSup>
          <m:e>
            <m:r>
              <m:t>r</m:t>
            </m:r>
          </m:e>
          <m:sup>
            <m:r>
              <m:t>2</m:t>
            </m:r>
          </m:sup>
        </m:sSup>
      </m:oMath>
      <w:r>
        <w:rPr>
          <w:rFonts w:hint="eastAsia"/>
        </w:rPr>
        <w:t xml:space="preserve">之和度量容量，作为信息处理容量的实用代理；因所用单项式非正交，各阶之和不构成受储备池维数约束的绝对IPC，仅用于均值场与器件、以及偏置扫描间的相对比较。</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6">
        <w:r>
          <w:rPr>
            <w:rStyle w:val="Hyperlink"/>
          </w:rPr>
          <w:t xml:space="preserve">arXiv:2601.21807</w:t>
        </w:r>
      </w:hyperlink>
    </w:p>
  </w:footnote>
  <w:footnote w:id="64">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 w:id="65">
    <w:p>
      <w:pPr>
        <w:pStyle w:val="FootnoteText"/>
      </w:pPr>
      <w:r>
        <w:rPr>
          <w:rStyle w:val="FootnoteReference"/>
        </w:rPr>
        <w:footnoteRef/>
      </w:r>
      <w:r>
        <w:t xml:space="preserve"> </w:t>
      </w:r>
      <w:r>
        <w:rPr>
          <w:rFonts w:hint="eastAsia"/>
        </w:rPr>
        <w:t xml:space="preserve">该栅压约0.56</w:t>
      </w:r>
      <w:r>
        <w:t xml:space="preserve"> </w:t>
      </w:r>
      <w:r>
        <w:rPr>
          <w:rFonts w:hint="eastAsia"/>
        </w:rPr>
        <w:t xml:space="preserve">V，量级与已报道的电压可调各向异性器件相当。</w:t>
      </w:r>
    </w:p>
  </w:footnote>
  <w:footnote w:id="66">
    <w:p>
      <w:pPr>
        <w:pStyle w:val="FootnoteText"/>
      </w:pPr>
      <w:r>
        <w:rPr>
          <w:rStyle w:val="FootnoteReference"/>
        </w:rPr>
        <w:footnoteRef/>
      </w:r>
      <w:r>
        <w:t xml:space="preserve"> </w:t>
      </w:r>
      <w:r>
        <w:t xml:space="preserve">Sidi El Valli A, Tsao M, Chen D, Kent A D. Tunable random telegraph noise in stable perpendicular magnetic tunnel junctions for unconventional computing.</w:t>
      </w:r>
      <w:r>
        <w:t xml:space="preserve"> </w:t>
      </w:r>
      <w:r>
        <w:rPr>
          <w:i/>
          <w:iCs/>
        </w:rPr>
        <w:t xml:space="preserve">arXiv preprint</w:t>
      </w:r>
      <w:r>
        <w:t xml:space="preserve">, 2025.</w:t>
      </w:r>
      <w:r>
        <w:t xml:space="preserve"> </w:t>
      </w:r>
      <w:hyperlink r:id="rId67">
        <w:r>
          <w:rPr>
            <w:rStyle w:val="Hyperlink"/>
          </w:rPr>
          <w:t xml:space="preserve">arXiv:2509.13458</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hyperlink" Id="rId67" Target="https://arxiv.org/abs/2509.13458" TargetMode="External" /><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9.13458" TargetMode="External" /><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2026-07-07T21:22:20Z</dcterms:created>
  <dcterms:modified xsi:type="dcterms:W3CDTF">2026-07-07T21:22:20Z</dcterms:modified>
</cp:coreProperties>
</file>

<file path=docProps/custom.xml><?xml version="1.0" encoding="utf-8"?>
<Properties xmlns="http://schemas.openxmlformats.org/officeDocument/2006/custom-properties" xmlns:vt="http://schemas.openxmlformats.org/officeDocument/2006/docPropsVTypes"/>
</file>