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1.png" ContentType="image/png"/>
  <Override PartName="/word/media/rId58.png" ContentType="image/png"/>
  <Override PartName="/word/media/rId61.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72401"/>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72401"/>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(1.2.5节)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999208"/>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999208"/>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82070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82070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820990"/>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82099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811218"/>
            <wp:effectExtent b="0" l="0" r="0" t="0"/>
            <wp:docPr descr="" title="" id="44" name="Picture"/>
            <a:graphic>
              <a:graphicData uri="http://schemas.openxmlformats.org/drawingml/2006/picture">
                <pic:pic>
                  <pic:nvPicPr>
                    <pic:cNvPr descr="figs/Chapter05_local_05.png" id="45" name="Picture"/>
                    <pic:cNvPicPr>
                      <a:picLocks noChangeArrowheads="1" noChangeAspect="1"/>
                    </pic:cNvPicPr>
                  </pic:nvPicPr>
                  <pic:blipFill>
                    <a:blip r:embed="rId43"/>
                    <a:stretch>
                      <a:fillRect/>
                    </a:stretch>
                  </pic:blipFill>
                  <pic:spPr bwMode="auto">
                    <a:xfrm>
                      <a:off x="0" y="0"/>
                      <a:ext cx="5334000" cy="3811218"/>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64"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06953"/>
            <wp:effectExtent b="0" l="0" r="0" t="0"/>
            <wp:docPr descr="" title="" id="48" name="Picture"/>
            <a:graphic>
              <a:graphicData uri="http://schemas.openxmlformats.org/drawingml/2006/picture">
                <pic:pic>
                  <pic:nvPicPr>
                    <pic:cNvPr descr="figs/Chapter05_local_06.png" id="49" name="Picture"/>
                    <pic:cNvPicPr>
                      <a:picLocks noChangeArrowheads="1" noChangeAspect="1"/>
                    </pic:cNvPicPr>
                  </pic:nvPicPr>
                  <pic:blipFill>
                    <a:blip r:embed="rId47"/>
                    <a:stretch>
                      <a:fillRect/>
                    </a:stretch>
                  </pic:blipFill>
                  <pic:spPr bwMode="auto">
                    <a:xfrm>
                      <a:off x="0" y="0"/>
                      <a:ext cx="5334000" cy="3806953"/>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0"/>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805731"/>
            <wp:effectExtent b="0" l="0" r="0" t="0"/>
            <wp:docPr descr="" title="" id="52" name="Picture"/>
            <a:graphic>
              <a:graphicData uri="http://schemas.openxmlformats.org/drawingml/2006/picture">
                <pic:pic>
                  <pic:nvPicPr>
                    <pic:cNvPr descr="figs/Chapter05_local_07.png" id="53" name="Picture"/>
                    <pic:cNvPicPr>
                      <a:picLocks noChangeArrowheads="1" noChangeAspect="1"/>
                    </pic:cNvPicPr>
                  </pic:nvPicPr>
                  <pic:blipFill>
                    <a:blip r:embed="rId51"/>
                    <a:stretch>
                      <a:fillRect/>
                    </a:stretch>
                  </pic:blipFill>
                  <pic:spPr bwMode="auto">
                    <a:xfrm>
                      <a:off x="0" y="0"/>
                      <a:ext cx="5334000" cy="380573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、1000步推理下，sMTJ-RC的读出能量以提取的sky130</w:t>
      </w:r>
      <w:r>
        <w:t xml:space="preserve"> </w:t>
      </w:r>
      <w:r>
        <w:rPr>
          <w:rFonts w:hint="eastAsia"/>
        </w:rPr>
        <w:t xml:space="preserve">StrongARM比较器与电容数模阵列标定的逐次逼近转换为准、不再视为无代价</w:t>
      </w:r>
      <w:r>
        <w:rPr>
          <w:rStyle w:val="FootnoteReference"/>
        </w:rPr>
        <w:footnoteReference w:id="54"/>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55"/>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(图5.9)；但比较器项随位数线性增长，分辨率的能量惩罚温和。对集成式储备池而言低至中等分辨读出即足这一结论本身在近期工作中已有报道</w:t>
      </w:r>
      <w:r>
        <w:rPr>
          <w:rStyle w:val="FootnoteReference"/>
        </w:rPr>
        <w:footnoteReference w:id="56"/>
      </w:r>
      <w:r>
        <w:rPr>
          <w:rFonts w:hint="eastAsia"/>
        </w:rPr>
        <w:t xml:space="preserve">，本章区别于该工作之处在于以记忆容量每焦耳为目标、把节点数纳入联合权衡，并采用列共享、时分复用的逐次逼近转换器，把一套比较器与电容阵列摊销到超顺磁电报噪声节点之上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59" name="Picture"/>
            <a:graphic>
              <a:graphicData uri="http://schemas.openxmlformats.org/drawingml/2006/picture">
                <pic:pic>
                  <pic:nvPicPr>
                    <pic:cNvPr descr="figs/Chapter05_local_08.png" id="60" name="Picture"/>
                    <pic:cNvPicPr>
                      <a:picLocks noChangeArrowheads="1" noChangeAspect="1"/>
                    </pic:cNvPicPr>
                  </pic:nvPicPr>
                  <pic:blipFill>
                    <a:blip r:embed="rId58"/>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822410"/>
            <wp:effectExtent b="0" l="0" r="0" t="0"/>
            <wp:docPr descr="" title="" id="62" name="Picture"/>
            <a:graphic>
              <a:graphicData uri="http://schemas.openxmlformats.org/drawingml/2006/picture">
                <pic:pic>
                  <pic:nvPicPr>
                    <pic:cNvPr descr="figs/Chapter05_local_09.png" id="63" name="Picture"/>
                    <pic:cNvPicPr>
                      <a:picLocks noChangeArrowheads="1" noChangeAspect="1"/>
                    </pic:cNvPicPr>
                  </pic:nvPicPr>
                  <pic:blipFill>
                    <a:blip r:embed="rId61"/>
                    <a:stretch>
                      <a:fillRect/>
                    </a:stretch>
                  </pic:blipFill>
                  <pic:spPr bwMode="auto">
                    <a:xfrm>
                      <a:off x="0" y="0"/>
                      <a:ext cx="5334000" cy="1822410"/>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(比较器即使低分辨也占近九成)，但比较器项随位数线性增长，故分辨率的能量惩罚温和——支撑以列共享摊销比较器、而非降低分辨率为读出能量杠杆。(b)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fJ)，而按位线性的比较器项主导总能量，印证读出能量杠杆在于跨列摊销比较器而非削减位数。各备选方案与同流程分析见附录D。</w:t>
      </w:r>
    </w:p>
    <w:bookmarkEnd w:id="64"/>
    <w:bookmarkStart w:id="69"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5"/>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611235"/>
            <wp:effectExtent b="0" l="0" r="0" t="0"/>
            <wp:docPr descr="" title="" id="67" name="Picture"/>
            <a:graphic>
              <a:graphicData uri="http://schemas.openxmlformats.org/drawingml/2006/picture">
                <pic:pic>
                  <pic:nvPicPr>
                    <pic:cNvPr descr="figs/Chapter05_local_10.png" id="68" name="Picture"/>
                    <pic:cNvPicPr>
                      <a:picLocks noChangeArrowheads="1" noChangeAspect="1"/>
                    </pic:cNvPicPr>
                  </pic:nvPicPr>
                  <pic:blipFill>
                    <a:blip r:embed="rId66"/>
                    <a:stretch>
                      <a:fillRect/>
                    </a:stretch>
                  </pic:blipFill>
                  <pic:spPr bwMode="auto">
                    <a:xfrm>
                      <a:off x="0" y="0"/>
                      <a:ext cx="5334000" cy="2611235"/>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69"/>
    <w:bookmarkStart w:id="70" w:name="参考文献"/>
    <w:p>
      <w:pPr>
        <w:pStyle w:val="Heading2"/>
      </w:pPr>
      <w:r>
        <w:rPr>
          <w:rFonts w:hint="eastAsia"/>
        </w:rPr>
        <w:t xml:space="preserve">参考文献</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50">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4">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5">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56">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7">
        <w:r>
          <w:rPr>
            <w:rStyle w:val="Hyperlink"/>
          </w:rPr>
          <w:t xml:space="preserve">arXiv:2601.21807</w:t>
        </w:r>
      </w:hyperlink>
    </w:p>
  </w:footnote>
  <w:footnote w:id="65">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2026-07-08T05:11:29Z</dcterms:created>
  <dcterms:modified xsi:type="dcterms:W3CDTF">2026-07-08T05:11:29Z</dcterms:modified>
</cp:coreProperties>
</file>

<file path=docProps/custom.xml><?xml version="1.0" encoding="utf-8"?>
<Properties xmlns="http://schemas.openxmlformats.org/officeDocument/2006/custom-properties" xmlns:vt="http://schemas.openxmlformats.org/officeDocument/2006/docPropsVTypes"/>
</file>