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sz w:val="44"/>
        </w:rPr>
        <w:t>DeepPen-X</w:t>
      </w:r>
    </w:p>
    <w:p>
      <w:pPr>
        <w:jc w:val="center"/>
      </w:pPr>
      <w:r>
        <w:rPr>
          <w:rFonts w:ascii="Calibri" w:hAnsi="Calibri" w:eastAsia="微软雅黑"/>
          <w:color w:val="595959"/>
          <w:sz w:val="24"/>
        </w:rPr>
        <w:t>Rebuilding the IoV Security Boundary Around Autonomous Penetration Testing</w:t>
      </w:r>
    </w:p>
    <w:p>
      <w:pPr>
        <w:jc w:val="center"/>
      </w:pPr>
      <w:r>
        <w:rPr>
          <w:rFonts w:ascii="Calibri" w:hAnsi="Calibri" w:eastAsia="微软雅黑"/>
          <w:color w:val="595959"/>
          <w:sz w:val="24"/>
        </w:rPr>
        <w:t>DeepPen-X 技术白皮书  |  2026-10</w:t>
      </w:r>
    </w:p>
    <w:p>
      <w:pPr>
        <w:pStyle w:val="Heading1"/>
      </w:pPr>
      <w:r>
        <w:rPr>
          <w:rFonts w:ascii="Calibri" w:hAnsi="Calibri" w:eastAsia="微软雅黑"/>
          <w:color w:val="1F3A5F"/>
          <w:sz w:val="30"/>
        </w:rPr>
        <w:t>摘要</w:t>
      </w:r>
    </w:p>
    <w:p>
      <w:pPr>
        <w:spacing w:after="120"/>
      </w:pPr>
      <w:r>
        <w:rPr>
          <w:rFonts w:ascii="Calibri" w:hAnsi="Calibri" w:eastAsia="微软雅黑"/>
        </w:rPr>
        <w:t>DeepPen-X 是一套围绕自主渗透测试重建车联网（IoV）安全边界的平台。它基于确定性证据门控架构与多 Agent 协作闭环，构建了一支能够在真实车载设备上自主探索攻击面、执行真实攻击、挖掘漏洞的 AI 渗透测试团队，将人工渗透测试人员的技艺转化为可回放、可审计、可扩展的自动化行动。</w:t>
      </w:r>
    </w:p>
    <w:p>
      <w:pPr>
        <w:spacing w:after="120"/>
      </w:pPr>
      <w:r>
        <w:rPr>
          <w:rFonts w:ascii="Calibri" w:hAnsi="Calibri" w:eastAsia="微软雅黑"/>
        </w:rPr>
        <w:t>平台的每一条漏洞结论都附带 SHA-256 锚定的证据链，并必须通过独立的证据裁决才能成立——“不确定”不被接受为结论。</w:t>
      </w:r>
    </w:p>
    <w:p>
      <w:pPr>
        <w:pStyle w:val="Heading1"/>
      </w:pPr>
      <w:r>
        <w:rPr>
          <w:rFonts w:ascii="Calibri" w:hAnsi="Calibri" w:eastAsia="微软雅黑"/>
          <w:color w:val="1F3A5F"/>
          <w:sz w:val="30"/>
        </w:rPr>
        <w:t>1. 背景与动机</w:t>
      </w:r>
    </w:p>
    <w:p>
      <w:pPr>
        <w:spacing w:after="120"/>
      </w:pPr>
      <w:r>
        <w:rPr>
          <w:rFonts w:ascii="Calibri" w:hAnsi="Calibri" w:eastAsia="微软雅黑"/>
        </w:rPr>
        <w:t>现代汽车是由数十家供应商的 Linux/QNX/Android ECU 组成的分布式攻击面，移动应用成为进入车辆硬件的关键入口。而现有方法各有短板：</w:t>
      </w:r>
    </w:p>
    <w:p>
      <w:pPr>
        <w:pStyle w:val="ListBullet"/>
      </w:pPr>
      <w:r>
        <w:rPr>
          <w:rFonts w:ascii="Calibri" w:hAnsi="Calibri" w:eastAsia="微软雅黑"/>
        </w:rPr>
        <w:t>人工台架渗透：无法规模化、不可回放、不留下可审计证据。</w:t>
      </w:r>
    </w:p>
    <w:p>
      <w:pPr>
        <w:pStyle w:val="ListBullet"/>
      </w:pPr>
      <w:r>
        <w:rPr>
          <w:rFonts w:ascii="Calibri" w:hAnsi="Calibri" w:eastAsia="微软雅黑"/>
        </w:rPr>
        <w:t>静态扫描器：产出的发现无人能说清真阳率。</w:t>
      </w:r>
    </w:p>
    <w:p>
      <w:pPr>
        <w:pStyle w:val="ListBullet"/>
      </w:pPr>
      <w:r>
        <w:rPr>
          <w:rFonts w:ascii="Calibri" w:hAnsi="Calibri" w:eastAsia="微软雅黑"/>
        </w:rPr>
        <w:t>LLM 辅助审查：把噪声放大百倍——模型可以把任何 system() 调用读成 RCE。</w:t>
      </w:r>
    </w:p>
    <w:p>
      <w:pPr>
        <w:spacing w:after="120"/>
      </w:pPr>
      <w:r>
        <w:rPr>
          <w:rFonts w:ascii="Calibri" w:hAnsi="Calibri" w:eastAsia="微软雅黑"/>
        </w:rPr>
        <w:t>因此需要一套每一条声明都携带证明的系统。</w:t>
      </w:r>
    </w:p>
    <w:p>
      <w:pPr>
        <w:pStyle w:val="Heading1"/>
      </w:pPr>
      <w:r>
        <w:rPr>
          <w:rFonts w:ascii="Calibri" w:hAnsi="Calibri" w:eastAsia="微软雅黑"/>
          <w:color w:val="1F3A5F"/>
          <w:sz w:val="30"/>
        </w:rPr>
        <w:t>2. 总体架构：三个平面</w:t>
      </w:r>
    </w:p>
    <w:p>
      <w:pPr>
        <w:pStyle w:val="Heading2"/>
      </w:pPr>
      <w:r>
        <w:rPr>
          <w:rFonts w:ascii="Calibri" w:hAnsi="Calibri" w:eastAsia="微软雅黑"/>
          <w:color w:val="2E5484"/>
          <w:sz w:val="25"/>
        </w:rPr>
        <w:t>2.1 确定性攻击面侦察（Recon）</w:t>
      </w:r>
    </w:p>
    <w:p>
      <w:pPr>
        <w:spacing w:after="120"/>
      </w:pPr>
      <w:r>
        <w:rPr>
          <w:rFonts w:ascii="Calibri" w:hAnsi="Calibri" w:eastAsia="微软雅黑"/>
        </w:rPr>
        <w:t>系统安全扫描、APP 扫描与二进制深度分析共同完成固件与 companion APP 的攻击面建模。攻击面按 23 类安全域注册表组织（引导信任链、凭据、OTA 完整性、UDS/DoIP/SOME-IP 协议栈、平台安全、无线等），保证没有安全域被静默挤掉。离线规则只提名候选；每个候选经三态 AI 复核（confirmed / not_a_vulnerability / needs_more_context）过滤可利用性闸门；存活事实以绑定产物 SHA-256、附带显式 confirm_requires 清单的渗透假设形式产出。</w:t>
      </w:r>
    </w:p>
    <w:p>
      <w:pPr>
        <w:pStyle w:val="Heading2"/>
      </w:pPr>
      <w:r>
        <w:rPr>
          <w:rFonts w:ascii="Calibri" w:hAnsi="Calibri" w:eastAsia="微软雅黑"/>
          <w:color w:val="2E5484"/>
          <w:sz w:val="25"/>
        </w:rPr>
        <w:t>2.2 多 Agent 自主渗透（Penetration）</w:t>
      </w:r>
    </w:p>
    <w:p>
      <w:pPr>
        <w:spacing w:after="120"/>
      </w:pPr>
      <w:r>
        <w:rPr>
          <w:rFonts w:ascii="Calibri" w:hAnsi="Calibri" w:eastAsia="微软雅黑"/>
        </w:rPr>
        <w:t>渗透层是持久化的循环状态机，而非一次性模型循环：</w:t>
      </w:r>
    </w:p>
    <w:p>
      <w:pPr>
        <w:pStyle w:val="ListBullet"/>
      </w:pPr>
      <w:r>
        <w:rPr>
          <w:rFonts w:ascii="Calibri" w:hAnsi="Calibri" w:eastAsia="微软雅黑"/>
        </w:rPr>
        <w:t>Planner（无工具权限）：输出不可变版本化攻击计划，包含假设、证明义务、替代路线、预期可观测现象与停止条件。</w:t>
      </w:r>
    </w:p>
    <w:p>
      <w:pPr>
        <w:pStyle w:val="ListBullet"/>
      </w:pPr>
      <w:r>
        <w:rPr>
          <w:rFonts w:ascii="Calibri" w:hAnsi="Calibri" w:eastAsia="微软雅黑"/>
        </w:rPr>
        <w:t>Executor（唯一持有工具：ADB、SSH、串口、Frida、宿主命令）：执行计划、回放凭据、驱动诊断会话、探测 IPC 面，并在设备暴露新信息时超出计划探索。</w:t>
      </w:r>
    </w:p>
    <w:p>
      <w:pPr>
        <w:pStyle w:val="ListBullet"/>
      </w:pPr>
      <w:r>
        <w:rPr>
          <w:rFonts w:ascii="Calibri" w:hAnsi="Calibri" w:eastAsia="微软雅黑"/>
        </w:rPr>
        <w:t>一次渗透活动可绑定多个发现，并支持将多个孤立中危弱点组合为一条高危攻击链结论。</w:t>
      </w:r>
    </w:p>
    <w:p>
      <w:pPr>
        <w:pStyle w:val="Heading2"/>
      </w:pPr>
      <w:r>
        <w:rPr>
          <w:rFonts w:ascii="Calibri" w:hAnsi="Calibri" w:eastAsia="微软雅黑"/>
          <w:color w:val="2E5484"/>
          <w:sz w:val="25"/>
        </w:rPr>
        <w:t>2.3 独立证据裁决（Adjudication）</w:t>
      </w:r>
    </w:p>
    <w:p>
      <w:pPr>
        <w:spacing w:after="120"/>
      </w:pPr>
      <w:r>
        <w:rPr>
          <w:rFonts w:ascii="Calibri" w:hAnsi="Calibri" w:eastAsia="微软雅黑"/>
        </w:rPr>
        <w:t>Evidence Judge 依据原始工具结果对每一个“已发现”声明独立裁决，路由只有四种：accepted / repair_required / replan_required / blocked。被接受的发现事务化回写漏洞管理，完整证据链（攻击计划、ToolRun 账本、Judge 裁决）随结论保留，可审计、可回放。</w:t>
      </w:r>
    </w:p>
    <w:p>
      <w:pPr>
        <w:pStyle w:val="Heading1"/>
      </w:pPr>
      <w:r>
        <w:rPr>
          <w:rFonts w:ascii="Calibri" w:hAnsi="Calibri" w:eastAsia="微软雅黑"/>
          <w:color w:val="1F3A5F"/>
          <w:sz w:val="30"/>
        </w:rPr>
        <w:t>3. 关键能力</w:t>
      </w:r>
    </w:p>
    <w:p>
      <w:pPr>
        <w:pStyle w:val="Heading2"/>
      </w:pPr>
      <w:r>
        <w:rPr>
          <w:rFonts w:ascii="Calibri" w:hAnsi="Calibri" w:eastAsia="微软雅黑"/>
          <w:color w:val="2E5484"/>
          <w:sz w:val="25"/>
        </w:rPr>
        <w:t>3.1 24 小时自主运行的事务化可靠性</w:t>
      </w:r>
    </w:p>
    <w:p>
      <w:pPr>
        <w:pStyle w:val="ListBullet"/>
      </w:pPr>
      <w:r>
        <w:rPr>
          <w:rFonts w:ascii="Calibri" w:hAnsi="Calibri" w:eastAsia="微软雅黑"/>
        </w:rPr>
        <w:t>每个攻击动作在执行前写入 ToolRun 账本；崩溃恢复按副作用类别（read_only / idempotent_write / non_idempotent_write）处理，写操作中途中断标记 unknown_side_effect，禁止自动重放。</w:t>
      </w:r>
    </w:p>
    <w:p>
      <w:pPr>
        <w:pStyle w:val="ListBullet"/>
      </w:pPr>
      <w:r>
        <w:rPr>
          <w:rFonts w:ascii="Calibri" w:hAnsi="Calibri" w:eastAsia="微软雅黑"/>
        </w:rPr>
        <w:t>双层记忆模型：权威状态由数据库事件重新生成；非权威工作记忆按 85%–95% 渐进压缩，内容寻址 blob 保存原始证据，压缩边界可校验。</w:t>
      </w:r>
    </w:p>
    <w:p>
      <w:pPr>
        <w:pStyle w:val="ListBullet"/>
      </w:pPr>
      <w:r>
        <w:rPr>
          <w:rFonts w:ascii="Calibri" w:hAnsi="Calibri" w:eastAsia="微软雅黑"/>
        </w:rPr>
        <w:t>自动上下文压缩后持久化 Workspace Resume Checkpoint，续写经过 expected_sha256 校验与原子写入。</w:t>
      </w:r>
    </w:p>
    <w:p>
      <w:pPr>
        <w:pStyle w:val="ListBullet"/>
      </w:pPr>
      <w:r>
        <w:rPr>
          <w:rFonts w:ascii="Calibri" w:hAnsi="Calibri" w:eastAsia="微软雅黑"/>
        </w:rPr>
        <w:t>支持 24 小时活跃周期、设备断线自动恢复、审批与工具事务恢复、同一任务多 cycle 续跑。</w:t>
      </w:r>
    </w:p>
    <w:p>
      <w:pPr>
        <w:pStyle w:val="Heading2"/>
      </w:pPr>
      <w:r>
        <w:rPr>
          <w:rFonts w:ascii="Calibri" w:hAnsi="Calibri" w:eastAsia="微软雅黑"/>
          <w:color w:val="2E5484"/>
          <w:sz w:val="25"/>
        </w:rPr>
        <w:t>3.2 动态验证会话（Timeline V2）</w:t>
      </w:r>
    </w:p>
    <w:p>
      <w:pPr>
        <w:spacing w:after="120"/>
      </w:pPr>
      <w:r>
        <w:rPr>
          <w:rFonts w:ascii="Calibri" w:hAnsi="Calibri" w:eastAsia="微软雅黑"/>
        </w:rPr>
        <w:t>动态会话以类型化节点展示对话、计划、工具、审批、证据复核、裁决、公开状态与错误；失败工具展示经凭据脱敏的真实错误原因；升级已有数据库需通过幂等迁移与只读部署门禁。</w:t>
      </w:r>
    </w:p>
    <w:p>
      <w:pPr>
        <w:pStyle w:val="Heading2"/>
      </w:pPr>
      <w:r>
        <w:rPr>
          <w:rFonts w:ascii="Calibri" w:hAnsi="Calibri" w:eastAsia="微软雅黑"/>
          <w:color w:val="2E5484"/>
          <w:sz w:val="25"/>
        </w:rPr>
        <w:t>3.3 二进制深度分析</w:t>
      </w:r>
    </w:p>
    <w:p>
      <w:pPr>
        <w:spacing w:after="120"/>
      </w:pPr>
      <w:r>
        <w:rPr>
          <w:rFonts w:ascii="Calibri" w:hAnsi="Calibri" w:eastAsia="微软雅黑"/>
        </w:rPr>
        <w:t>对 ELF 文件执行结构化静态分析：ELF 头/节/段、动态表、符号、重定位与 PLT 解析、函数边界恢复、危险 API 调用点反汇编、参数回溯、加固姿态（RELRO/NX/PIE/canary/FORTIFY/RPATH）。全部基于 Python 标准库实现，支持 AArch64、ARM、x86-64、i386、MIPS32/64，含大端序与分支延迟槽。调用点只产生候选点，不构成漏洞。</w:t>
      </w:r>
    </w:p>
    <w:p>
      <w:pPr>
        <w:pStyle w:val="Heading2"/>
      </w:pPr>
      <w:r>
        <w:rPr>
          <w:rFonts w:ascii="Calibri" w:hAnsi="Calibri" w:eastAsia="微软雅黑"/>
          <w:color w:val="2E5484"/>
          <w:sz w:val="25"/>
        </w:rPr>
        <w:t>3.4 误报控制</w:t>
      </w:r>
    </w:p>
    <w:p>
      <w:pPr>
        <w:spacing w:after="120"/>
      </w:pPr>
      <w:r>
        <w:rPr>
          <w:rFonts w:ascii="Calibri" w:hAnsi="Calibri" w:eastAsia="微软雅黑"/>
        </w:rPr>
        <w:t>统一漏洞评级标准 unified-risk-scoring-v1：离线规则不直接确认漏洞；公开漏洞必须由 AI 文件级复核输出 confirmed 并通过平台证据闸门；等级区间固定（严重 90-100 / 高危 70-89 / 中危 40-69 / 低危 10-39 / 信息 0-9），同一证据重复扫描必须得到相同等级。</w:t>
      </w:r>
    </w:p>
    <w:p>
      <w:pPr>
        <w:pStyle w:val="Heading1"/>
      </w:pPr>
      <w:r>
        <w:rPr>
          <w:rFonts w:ascii="Calibri" w:hAnsi="Calibri" w:eastAsia="微软雅黑"/>
          <w:color w:val="1F3A5F"/>
          <w:sz w:val="30"/>
        </w:rPr>
        <w:t>4. 部署形态</w:t>
      </w:r>
    </w:p>
    <w:p>
      <w:pPr>
        <w:spacing w:after="120"/>
      </w:pPr>
      <w:r>
        <w:rPr>
          <w:rFonts w:ascii="Calibri" w:hAnsi="Calibri" w:eastAsia="微软雅黑"/>
        </w:rPr>
        <w:t>DeepPen-X 完全本地部署：后端 127.0.0.1:8000，前端 127.0.0.1:5173，本地 SQLite 数据库，无外发数据。动态验证的 autonomous 权限直接执行宿主与设备命令，仅面向隔离测试台架与授权设备，所有命令记入 ToolRun 账本。</w:t>
      </w:r>
    </w:p>
    <w:p>
      <w:pPr>
        <w:pStyle w:val="Heading1"/>
      </w:pPr>
      <w:r>
        <w:rPr>
          <w:rFonts w:ascii="Calibri" w:hAnsi="Calibri" w:eastAsia="微软雅黑"/>
          <w:color w:val="1F3A5F"/>
          <w:sz w:val="30"/>
        </w:rPr>
        <w:t>5. 结语</w:t>
      </w:r>
    </w:p>
    <w:p>
      <w:pPr>
        <w:spacing w:after="120"/>
      </w:pPr>
      <w:r>
        <w:rPr>
          <w:rFonts w:ascii="Calibri" w:hAnsi="Calibri" w:eastAsia="微软雅黑"/>
        </w:rPr>
        <w:t>DeepPen-X 把渗透测试从“手艺”变成可回放、可审计、可扩展的自动化能力：确定性侦察刻画攻击面，多 Agent 团队自主渗透，独立裁决守住结论的边界。无论是全自主行动还是人工驱动的静态假设动态复验，每一个被发现漏洞都必须穿过同一道确定性证据闸门。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