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19B3C">
      <w:pPr>
        <w:pStyle w:val="31"/>
        <w:numPr>
          <w:ilvl w:val="0"/>
          <w:numId w:val="1"/>
        </w:numPr>
        <w:ind w:left="363" w:hanging="363"/>
        <w:outlineLvl w:val="0"/>
        <w:rPr>
          <w:rFonts w:ascii="Times New Roman" w:hAnsi="Times New Roman" w:cs="Times New Roman"/>
          <w:b/>
          <w:bCs/>
          <w:color w:val="2E75B6" w:themeColor="accent5" w:themeShade="BF"/>
          <w:szCs w:val="21"/>
        </w:rPr>
      </w:pPr>
      <w:r>
        <w:rPr>
          <w:rFonts w:ascii="Times New Roman" w:hAnsi="Times New Roman" w:cs="Times New Roman"/>
          <w:b/>
          <w:bCs/>
          <w:color w:val="2E75B6" w:themeColor="accent5" w:themeShade="BF"/>
          <w:szCs w:val="21"/>
        </w:rPr>
        <w:t xml:space="preserve">This history and development of Y6. Design Principles Behind </w:t>
      </w:r>
      <w:r>
        <w:rPr>
          <w:rFonts w:hint="eastAsia" w:ascii="Times New Roman" w:hAnsi="Times New Roman" w:cs="Times New Roman"/>
          <w:b/>
          <w:bCs/>
          <w:color w:val="2E75B6" w:themeColor="accent5" w:themeShade="BF"/>
          <w:szCs w:val="21"/>
        </w:rPr>
        <w:t>Y</w:t>
      </w:r>
      <w:r>
        <w:rPr>
          <w:rFonts w:ascii="Times New Roman" w:hAnsi="Times New Roman" w:cs="Times New Roman"/>
          <w:b/>
          <w:bCs/>
          <w:color w:val="2E75B6" w:themeColor="accent5" w:themeShade="BF"/>
          <w:szCs w:val="21"/>
        </w:rPr>
        <w:t>6.</w:t>
      </w:r>
    </w:p>
    <w:p w14:paraId="2BC97AC5">
      <w:pPr>
        <w:outlineLvl w:val="1"/>
        <w:rPr>
          <w:rFonts w:ascii="Times New Roman" w:hAnsi="Times New Roman" w:cs="Times New Roman"/>
          <w:b/>
          <w:bCs/>
          <w:szCs w:val="21"/>
        </w:rPr>
      </w:pPr>
      <w:r>
        <w:rPr>
          <w:rFonts w:ascii="Times New Roman" w:hAnsi="Times New Roman" w:cs="Times New Roman"/>
          <w:b/>
          <w:bCs/>
          <w:szCs w:val="21"/>
        </w:rPr>
        <w:t>Response</w:t>
      </w:r>
      <w:r>
        <w:rPr>
          <w:rFonts w:hint="eastAsia" w:ascii="Times New Roman" w:hAnsi="Times New Roman" w:cs="Times New Roman"/>
          <w:b/>
          <w:bCs/>
          <w:szCs w:val="21"/>
        </w:rPr>
        <w:t xml:space="preserve"> </w:t>
      </w:r>
      <w:r>
        <w:rPr>
          <w:rFonts w:ascii="Times New Roman" w:hAnsi="Times New Roman" w:cs="Times New Roman"/>
          <w:b/>
          <w:bCs/>
          <w:szCs w:val="21"/>
        </w:rPr>
        <w:t>A:</w:t>
      </w:r>
    </w:p>
    <w:p w14:paraId="68FECEDC">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In organic solar cells (OSCs), the term "Y6" refers to a high-performance non-fullerene acceptor (NFA) molecule that has significantly advanced the field. Y6 was first reported in 2019 by Yuan et al. in Nature Communications. It is a fused-ring electron acceptor with an A-D-A (acceptor-donor-acceptor) structure, known for its strong absorption in the near-infrared region, high electron mobility, and low energy loss.</w:t>
      </w:r>
    </w:p>
    <w:p w14:paraId="40DEEB95">
      <w:pPr>
        <w:rPr>
          <w:rFonts w:ascii="Times New Roman" w:hAnsi="Times New Roman" w:cs="Times New Roman"/>
          <w:sz w:val="20"/>
          <w:szCs w:val="20"/>
        </w:rPr>
      </w:pPr>
      <w:r>
        <w:rPr>
          <w:rFonts w:ascii="Times New Roman" w:hAnsi="Times New Roman" w:cs="Times New Roman"/>
          <w:sz w:val="20"/>
          <w:szCs w:val="20"/>
        </w:rPr>
        <w:t>The principles behind Y6 are:</w:t>
      </w:r>
    </w:p>
    <w:p w14:paraId="431AB7A6">
      <w:pPr>
        <w:ind w:firstLine="400" w:firstLineChars="200"/>
        <w:rPr>
          <w:rFonts w:ascii="Times New Roman" w:hAnsi="Times New Roman" w:cs="Times New Roman"/>
          <w:sz w:val="20"/>
          <w:szCs w:val="20"/>
        </w:rPr>
      </w:pPr>
      <w:r>
        <w:rPr>
          <w:rFonts w:ascii="Times New Roman" w:hAnsi="Times New Roman" w:cs="Times New Roman"/>
          <w:sz w:val="20"/>
          <w:szCs w:val="20"/>
        </w:rPr>
        <w:t>Y6 revolutionized OSCs by enabling power conversion efficiencies (PCEs) exceeding 18%, a major leap from previous NFA-based systems. Its development marked a shift from fullerene-based acceptors to non-fullerene ones, offering better tunability, stability, and efficiency. Y6 also inspired a wave of derivative materials and blends, further pushing OSC performance and making it a benchmark molecule in the field.</w:t>
      </w:r>
    </w:p>
    <w:p w14:paraId="7304397D">
      <w:pPr>
        <w:ind w:firstLine="400" w:firstLineChars="200"/>
        <w:rPr>
          <w:rFonts w:ascii="Times New Roman" w:hAnsi="Times New Roman" w:cs="Times New Roman"/>
          <w:sz w:val="20"/>
          <w:szCs w:val="20"/>
        </w:rPr>
      </w:pPr>
      <w:r>
        <w:rPr>
          <w:rFonts w:ascii="Times New Roman" w:hAnsi="Times New Roman" w:cs="Times New Roman"/>
          <w:sz w:val="20"/>
          <w:szCs w:val="20"/>
        </w:rPr>
        <w:t>A-D-A Structure: Acceptor-donor-acceptor design for strong intramolecular charge transfer (ICT) and low bandgap.</w:t>
      </w:r>
    </w:p>
    <w:p w14:paraId="041E569E">
      <w:pPr>
        <w:ind w:firstLine="400" w:firstLineChars="200"/>
        <w:rPr>
          <w:rFonts w:ascii="Times New Roman" w:hAnsi="Times New Roman" w:cs="Times New Roman"/>
          <w:sz w:val="20"/>
          <w:szCs w:val="20"/>
        </w:rPr>
      </w:pPr>
      <w:r>
        <w:rPr>
          <w:rFonts w:ascii="Times New Roman" w:hAnsi="Times New Roman" w:cs="Times New Roman"/>
          <w:sz w:val="20"/>
          <w:szCs w:val="20"/>
        </w:rPr>
        <w:t>Fused-Ring Core: Planar and conjugated structure enhances light absorption and charge transport.</w:t>
      </w:r>
    </w:p>
    <w:p w14:paraId="1AED9596">
      <w:pPr>
        <w:rPr>
          <w:rFonts w:ascii="Times New Roman" w:hAnsi="Times New Roman" w:cs="Times New Roman"/>
          <w:sz w:val="20"/>
          <w:szCs w:val="20"/>
        </w:rPr>
      </w:pPr>
      <w:r>
        <w:rPr>
          <w:rFonts w:ascii="Times New Roman" w:hAnsi="Times New Roman" w:cs="Times New Roman"/>
          <w:sz w:val="20"/>
          <w:szCs w:val="20"/>
        </w:rPr>
        <w:t>Electron-Withdrawing End Groups: Lowers LUMO level for efficient energy level alignment and high V</w:t>
      </w:r>
      <w:r>
        <w:rPr>
          <w:rFonts w:ascii="Times New Roman" w:hAnsi="Times New Roman" w:cs="Times New Roman"/>
          <w:sz w:val="20"/>
          <w:szCs w:val="20"/>
          <w:vertAlign w:val="subscript"/>
        </w:rPr>
        <w:t>OC</w:t>
      </w:r>
    </w:p>
    <w:p w14:paraId="27905916">
      <w:pPr>
        <w:ind w:firstLine="400" w:firstLineChars="200"/>
        <w:rPr>
          <w:rFonts w:ascii="Times New Roman" w:hAnsi="Times New Roman" w:cs="Times New Roman"/>
          <w:sz w:val="20"/>
          <w:szCs w:val="20"/>
        </w:rPr>
      </w:pPr>
      <w:r>
        <w:rPr>
          <w:rFonts w:ascii="Times New Roman" w:hAnsi="Times New Roman" w:cs="Times New Roman"/>
          <w:sz w:val="20"/>
          <w:szCs w:val="20"/>
        </w:rPr>
        <w:t>Broad Light Absorption: Absorbs visible and near-infrared (NIR) light up to ~930 nm, increasing J</w:t>
      </w:r>
      <w:r>
        <w:rPr>
          <w:rFonts w:ascii="Times New Roman" w:hAnsi="Times New Roman" w:cs="Times New Roman"/>
          <w:sz w:val="20"/>
          <w:szCs w:val="20"/>
          <w:vertAlign w:val="subscript"/>
        </w:rPr>
        <w:t>SC</w:t>
      </w:r>
    </w:p>
    <w:p w14:paraId="67B6604E">
      <w:pPr>
        <w:ind w:firstLine="400" w:firstLineChars="200"/>
        <w:rPr>
          <w:rFonts w:ascii="Times New Roman" w:hAnsi="Times New Roman" w:cs="Times New Roman"/>
          <w:sz w:val="20"/>
          <w:szCs w:val="20"/>
        </w:rPr>
      </w:pPr>
      <w:r>
        <w:rPr>
          <w:rFonts w:ascii="Times New Roman" w:hAnsi="Times New Roman" w:cs="Times New Roman"/>
          <w:sz w:val="20"/>
          <w:szCs w:val="20"/>
        </w:rPr>
        <w:t>Energy Level Tuning: Optimized HOMO/LUMO levels minimize energy loss and improve charge transfer.</w:t>
      </w:r>
    </w:p>
    <w:p w14:paraId="5A997CD5">
      <w:pPr>
        <w:ind w:firstLine="400" w:firstLineChars="200"/>
        <w:rPr>
          <w:rFonts w:ascii="Times New Roman" w:hAnsi="Times New Roman" w:cs="Times New Roman"/>
          <w:sz w:val="20"/>
          <w:szCs w:val="20"/>
        </w:rPr>
      </w:pPr>
      <w:r>
        <w:rPr>
          <w:rFonts w:ascii="Times New Roman" w:hAnsi="Times New Roman" w:cs="Times New Roman"/>
          <w:sz w:val="20"/>
          <w:szCs w:val="20"/>
        </w:rPr>
        <w:t>Side-Chain Engineering: Enhances solubility and blend morphology for efficient exciton dissociation.</w:t>
      </w:r>
    </w:p>
    <w:p w14:paraId="4D56D1D1">
      <w:pPr>
        <w:rPr>
          <w:rFonts w:ascii="Times New Roman" w:hAnsi="Times New Roman" w:cs="Times New Roman"/>
          <w:sz w:val="20"/>
          <w:szCs w:val="20"/>
        </w:rPr>
      </w:pPr>
      <w:r>
        <w:rPr>
          <w:rFonts w:ascii="Times New Roman" w:hAnsi="Times New Roman" w:cs="Times New Roman"/>
          <w:sz w:val="20"/>
          <w:szCs w:val="20"/>
        </w:rPr>
        <w:t>Morphology Control: Nanoscale phase separation ensures balanced charge transport and reduced recombination.</w:t>
      </w:r>
    </w:p>
    <w:p w14:paraId="16BC21FC">
      <w:pPr>
        <w:ind w:firstLine="400" w:firstLineChars="200"/>
        <w:rPr>
          <w:rFonts w:ascii="Times New Roman" w:hAnsi="Times New Roman" w:cs="Times New Roman"/>
          <w:sz w:val="20"/>
          <w:szCs w:val="20"/>
        </w:rPr>
      </w:pPr>
      <w:r>
        <w:rPr>
          <w:rFonts w:ascii="Times New Roman" w:hAnsi="Times New Roman" w:cs="Times New Roman"/>
          <w:sz w:val="20"/>
          <w:szCs w:val="20"/>
        </w:rPr>
        <w:t>High Electron Mobility: Strong π-π stacking improves electron transport.</w:t>
      </w:r>
    </w:p>
    <w:p w14:paraId="4A7078F8">
      <w:pPr>
        <w:ind w:firstLine="400" w:firstLineChars="200"/>
        <w:rPr>
          <w:rFonts w:ascii="Times New Roman" w:hAnsi="Times New Roman" w:cs="Times New Roman"/>
          <w:sz w:val="20"/>
          <w:szCs w:val="20"/>
        </w:rPr>
      </w:pPr>
      <w:r>
        <w:rPr>
          <w:rFonts w:ascii="Times New Roman" w:hAnsi="Times New Roman" w:cs="Times New Roman"/>
          <w:sz w:val="20"/>
          <w:szCs w:val="20"/>
        </w:rPr>
        <w:t>Low Energy Loss: Small energy offset reduces non-radiative recombination for higher efficiency.</w:t>
      </w:r>
    </w:p>
    <w:p w14:paraId="6A69605E">
      <w:pPr>
        <w:ind w:firstLine="400" w:firstLineChars="200"/>
        <w:rPr>
          <w:rFonts w:ascii="Times New Roman" w:hAnsi="Times New Roman" w:cs="Times New Roman"/>
          <w:sz w:val="20"/>
          <w:szCs w:val="20"/>
        </w:rPr>
      </w:pPr>
      <w:r>
        <w:rPr>
          <w:rFonts w:ascii="Times New Roman" w:hAnsi="Times New Roman" w:cs="Times New Roman"/>
          <w:sz w:val="20"/>
          <w:szCs w:val="20"/>
        </w:rPr>
        <w:t>Stability: Photochemical and thermal stability for long-term device performance.</w:t>
      </w:r>
    </w:p>
    <w:p w14:paraId="67A2DD19">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These principles enable Y6 to achieve high power conversion efficiency and stability in organic solar cells.</w:t>
      </w:r>
    </w:p>
    <w:p w14:paraId="3FBBC3C0">
      <w:pPr>
        <w:outlineLvl w:val="1"/>
        <w:rPr>
          <w:rFonts w:ascii="Times New Roman" w:hAnsi="Times New Roman" w:cs="Times New Roman"/>
          <w:b/>
          <w:bCs/>
          <w:szCs w:val="21"/>
        </w:rPr>
      </w:pPr>
      <w:r>
        <w:rPr>
          <w:rFonts w:hint="eastAsia" w:ascii="Times New Roman" w:hAnsi="Times New Roman" w:cs="Times New Roman"/>
          <w:b/>
          <w:bCs/>
          <w:szCs w:val="21"/>
          <w:highlight w:val="yellow"/>
        </w:rPr>
        <w:t>Response</w:t>
      </w:r>
      <w:r>
        <w:rPr>
          <w:rFonts w:ascii="Times New Roman" w:hAnsi="Times New Roman" w:cs="Times New Roman"/>
          <w:b/>
          <w:bCs/>
          <w:szCs w:val="21"/>
          <w:highlight w:val="yellow"/>
        </w:rPr>
        <w:t xml:space="preserve"> B</w:t>
      </w:r>
      <w:r>
        <w:rPr>
          <w:rFonts w:hint="eastAsia" w:ascii="Times New Roman" w:hAnsi="Times New Roman" w:cs="Times New Roman"/>
          <w:b/>
          <w:bCs/>
          <w:szCs w:val="21"/>
          <w:highlight w:val="yellow"/>
        </w:rPr>
        <w:t>:</w:t>
      </w:r>
    </w:p>
    <w:p w14:paraId="5F0FBD0B">
      <w:pPr>
        <w:rPr>
          <w:rFonts w:ascii="Times New Roman" w:hAnsi="Times New Roman" w:cs="Times New Roman"/>
          <w:szCs w:val="21"/>
        </w:rPr>
      </w:pPr>
      <w:r>
        <w:rPr>
          <w:rFonts w:hint="eastAsia" w:ascii="Times New Roman" w:hAnsi="Times New Roman" w:cs="Times New Roman"/>
          <w:szCs w:val="21"/>
        </w:rPr>
        <w:t>History and Development of Y6:</w:t>
      </w:r>
    </w:p>
    <w:p w14:paraId="79D42503">
      <w:pPr>
        <w:ind w:firstLine="400" w:firstLineChars="200"/>
        <w:rPr>
          <w:rFonts w:ascii="Times New Roman" w:hAnsi="Times New Roman" w:cs="Times New Roman"/>
          <w:sz w:val="20"/>
          <w:szCs w:val="20"/>
        </w:rPr>
      </w:pPr>
      <w:r>
        <w:rPr>
          <w:rFonts w:hint="eastAsia" w:ascii="Times New Roman" w:hAnsi="Times New Roman" w:cs="Times New Roman"/>
          <w:sz w:val="20"/>
          <w:szCs w:val="20"/>
        </w:rPr>
        <w:t>Introduction of Y6 and its Importance:</w:t>
      </w:r>
    </w:p>
    <w:p w14:paraId="5A9CD202">
      <w:pPr>
        <w:ind w:firstLine="400" w:firstLineChars="200"/>
        <w:rPr>
          <w:rFonts w:ascii="Times New Roman" w:hAnsi="Times New Roman" w:cs="Times New Roman"/>
          <w:sz w:val="20"/>
          <w:szCs w:val="20"/>
        </w:rPr>
      </w:pPr>
      <w:r>
        <w:rPr>
          <w:rFonts w:hint="eastAsia" w:ascii="Times New Roman" w:hAnsi="Times New Roman" w:cs="Times New Roman"/>
          <w:sz w:val="20"/>
          <w:szCs w:val="20"/>
        </w:rPr>
        <w:t>Y6 is a groundbreaking A-DA' D-A type non-fullerene acceptor (NFA) which gained attention for its high performance in organic solar cells (OSCs).</w:t>
      </w:r>
    </w:p>
    <w:p w14:paraId="4D31828C">
      <w:pPr>
        <w:ind w:firstLine="400" w:firstLineChars="200"/>
        <w:rPr>
          <w:rFonts w:ascii="Times New Roman" w:hAnsi="Times New Roman" w:cs="Times New Roman"/>
          <w:sz w:val="20"/>
          <w:szCs w:val="20"/>
        </w:rPr>
      </w:pPr>
      <w:r>
        <w:rPr>
          <w:rFonts w:hint="eastAsia" w:ascii="Times New Roman" w:hAnsi="Times New Roman" w:cs="Times New Roman"/>
          <w:sz w:val="20"/>
          <w:szCs w:val="20"/>
        </w:rPr>
        <w:t>It demonstrates remarkable power conversion efficiencies (PCEs), contributing to single-junction OSCs surpassing 19% efficiency.</w:t>
      </w:r>
    </w:p>
    <w:p w14:paraId="24F3417C">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Y6 features a unique ladder-type electron-deficient-core-based central fused backbone that enhances charge transport and broadens absorption spectra.</w:t>
      </w:r>
    </w:p>
    <w:p w14:paraId="2323E72C">
      <w:pPr>
        <w:rPr>
          <w:rFonts w:ascii="Times New Roman" w:hAnsi="Times New Roman" w:cs="Times New Roman"/>
          <w:sz w:val="20"/>
          <w:szCs w:val="20"/>
        </w:rPr>
      </w:pPr>
      <w:r>
        <w:rPr>
          <w:rFonts w:hint="eastAsia" w:ascii="Times New Roman" w:hAnsi="Times New Roman" w:cs="Times New Roman"/>
          <w:sz w:val="20"/>
          <w:szCs w:val="20"/>
        </w:rPr>
        <w:t>Design Principles:</w:t>
      </w:r>
    </w:p>
    <w:p w14:paraId="33685482">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A-DA' D-A molecular design includes:</w:t>
      </w:r>
    </w:p>
    <w:p w14:paraId="447ECAAE">
      <w:pPr>
        <w:ind w:firstLine="400" w:firstLineChars="200"/>
        <w:rPr>
          <w:rFonts w:ascii="Times New Roman" w:hAnsi="Times New Roman" w:cs="Times New Roman"/>
          <w:sz w:val="20"/>
          <w:szCs w:val="20"/>
        </w:rPr>
      </w:pPr>
      <w:r>
        <w:rPr>
          <w:rFonts w:hint="eastAsia" w:ascii="Times New Roman" w:hAnsi="Times New Roman" w:cs="Times New Roman"/>
          <w:sz w:val="20"/>
          <w:szCs w:val="20"/>
        </w:rPr>
        <w:t>Central electron-donor (D) core flanked by electron-withdrawing acceptor (A) groups.</w:t>
      </w:r>
    </w:p>
    <w:p w14:paraId="4F324BAD">
      <w:pPr>
        <w:ind w:firstLine="400" w:firstLineChars="200"/>
        <w:rPr>
          <w:rFonts w:ascii="Times New Roman" w:hAnsi="Times New Roman" w:cs="Times New Roman"/>
          <w:sz w:val="20"/>
          <w:szCs w:val="20"/>
        </w:rPr>
      </w:pPr>
      <w:r>
        <w:rPr>
          <w:rFonts w:hint="eastAsia" w:ascii="Times New Roman" w:hAnsi="Times New Roman" w:cs="Times New Roman"/>
          <w:sz w:val="20"/>
          <w:szCs w:val="20"/>
        </w:rPr>
        <w:t>An additional electron-deficient (A') segment inserted within the central D unit, optimizing charge transfer and morphology.</w:t>
      </w:r>
    </w:p>
    <w:p w14:paraId="02039A01">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Y6's curved geometry enhances intermolecular interactions, promoting molecular packing in the solid state.</w:t>
      </w:r>
    </w:p>
    <w:p w14:paraId="5F37D5BA">
      <w:pPr>
        <w:rPr>
          <w:rFonts w:ascii="Times New Roman" w:hAnsi="Times New Roman" w:cs="Times New Roman"/>
          <w:sz w:val="20"/>
          <w:szCs w:val="20"/>
        </w:rPr>
      </w:pPr>
      <w:r>
        <w:rPr>
          <w:rFonts w:hint="eastAsia" w:ascii="Times New Roman" w:hAnsi="Times New Roman" w:cs="Times New Roman"/>
          <w:sz w:val="20"/>
          <w:szCs w:val="20"/>
        </w:rPr>
        <w:t>Timeline of Y6 Development:</w:t>
      </w:r>
    </w:p>
    <w:p w14:paraId="6ED90440">
      <w:pPr>
        <w:ind w:firstLine="400" w:firstLineChars="200"/>
        <w:rPr>
          <w:rFonts w:ascii="Times New Roman" w:hAnsi="Times New Roman" w:cs="Times New Roman"/>
          <w:sz w:val="20"/>
          <w:szCs w:val="20"/>
        </w:rPr>
      </w:pPr>
      <w:r>
        <w:rPr>
          <w:rFonts w:hint="eastAsia" w:ascii="Times New Roman" w:hAnsi="Times New Roman" w:cs="Times New Roman"/>
          <w:sz w:val="20"/>
          <w:szCs w:val="20"/>
        </w:rPr>
        <w:t>Pre-2015: Early NFAs were based on simpler A-D-A backbones, e.g., ITIC, which combined IDT (indacenodithiophene) as the central D unit and INIC as the A unit.</w:t>
      </w:r>
    </w:p>
    <w:p w14:paraId="07A54372">
      <w:pPr>
        <w:ind w:firstLine="400" w:firstLineChars="200"/>
        <w:rPr>
          <w:rFonts w:ascii="Times New Roman" w:hAnsi="Times New Roman" w:cs="Times New Roman"/>
          <w:sz w:val="20"/>
          <w:szCs w:val="20"/>
        </w:rPr>
      </w:pPr>
      <w:r>
        <w:rPr>
          <w:rFonts w:hint="eastAsia" w:ascii="Times New Roman" w:hAnsi="Times New Roman" w:cs="Times New Roman"/>
          <w:sz w:val="20"/>
          <w:szCs w:val="20"/>
        </w:rPr>
        <w:t>2017: Yingping Zou’s group pioneered the A-DA' D-A framework by synthesizing BZIC, incorporating an electron-deficient dithieno[3,2-b]pyrrolobenzotriazole backbone.</w:t>
      </w:r>
    </w:p>
    <w:p w14:paraId="607364CD">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Post-2017: Building upon these advances, Y6 was designed by further optimizing the A-DA' D-A structure to achieve exceptional photovoltaic properties.</w:t>
      </w:r>
    </w:p>
    <w:p w14:paraId="7B4822BD">
      <w:pPr>
        <w:rPr>
          <w:rFonts w:ascii="Times New Roman" w:hAnsi="Times New Roman" w:cs="Times New Roman"/>
          <w:sz w:val="20"/>
          <w:szCs w:val="20"/>
        </w:rPr>
      </w:pPr>
      <w:r>
        <w:rPr>
          <w:rFonts w:hint="eastAsia" w:ascii="Times New Roman" w:hAnsi="Times New Roman" w:cs="Times New Roman"/>
          <w:sz w:val="20"/>
          <w:szCs w:val="20"/>
        </w:rPr>
        <w:t>Key Features of Y6:</w:t>
      </w:r>
    </w:p>
    <w:p w14:paraId="196995B6">
      <w:pPr>
        <w:ind w:firstLine="400" w:firstLineChars="200"/>
        <w:rPr>
          <w:rFonts w:ascii="Times New Roman" w:hAnsi="Times New Roman" w:cs="Times New Roman"/>
          <w:sz w:val="20"/>
          <w:szCs w:val="20"/>
        </w:rPr>
      </w:pPr>
      <w:r>
        <w:rPr>
          <w:rFonts w:hint="eastAsia" w:ascii="Times New Roman" w:hAnsi="Times New Roman" w:cs="Times New Roman"/>
          <w:sz w:val="20"/>
          <w:szCs w:val="20"/>
        </w:rPr>
        <w:t>Exhibits high absorption efficiency with a longer fluorescence lifetime due to weak non-radiative decay rates.</w:t>
      </w:r>
    </w:p>
    <w:p w14:paraId="02A13413">
      <w:pPr>
        <w:ind w:firstLine="400" w:firstLineChars="200"/>
        <w:rPr>
          <w:rFonts w:ascii="Times New Roman" w:hAnsi="Times New Roman" w:cs="Times New Roman"/>
          <w:sz w:val="20"/>
          <w:szCs w:val="20"/>
        </w:rPr>
      </w:pPr>
      <w:r>
        <w:rPr>
          <w:rFonts w:hint="eastAsia" w:ascii="Times New Roman" w:hAnsi="Times New Roman" w:cs="Times New Roman"/>
          <w:sz w:val="20"/>
          <w:szCs w:val="20"/>
        </w:rPr>
        <w:t>Small energetic disorder within its neat domains enhances exciton diffusion and charge generation efficiency.</w:t>
      </w:r>
    </w:p>
    <w:p w14:paraId="7D575EEB">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CT state characteristics indicate strong delocalization, facilitating efficient exciton dissociation into free charges.</w:t>
      </w:r>
    </w:p>
    <w:p w14:paraId="2CBC1C84">
      <w:pPr>
        <w:rPr>
          <w:rFonts w:ascii="Times New Roman" w:hAnsi="Times New Roman" w:cs="Times New Roman"/>
          <w:sz w:val="20"/>
          <w:szCs w:val="20"/>
        </w:rPr>
      </w:pPr>
      <w:r>
        <w:rPr>
          <w:rFonts w:hint="eastAsia" w:ascii="Times New Roman" w:hAnsi="Times New Roman" w:cs="Times New Roman"/>
          <w:sz w:val="20"/>
          <w:szCs w:val="20"/>
        </w:rPr>
        <w:t>Challenges Addressed by Y6:</w:t>
      </w:r>
    </w:p>
    <w:p w14:paraId="479EAE8C">
      <w:pPr>
        <w:ind w:firstLine="400" w:firstLineChars="200"/>
        <w:rPr>
          <w:rFonts w:ascii="Times New Roman" w:hAnsi="Times New Roman" w:cs="Times New Roman"/>
          <w:sz w:val="20"/>
          <w:szCs w:val="20"/>
        </w:rPr>
      </w:pPr>
      <w:r>
        <w:rPr>
          <w:rFonts w:hint="eastAsia" w:ascii="Times New Roman" w:hAnsi="Times New Roman" w:cs="Times New Roman"/>
          <w:sz w:val="20"/>
          <w:szCs w:val="20"/>
        </w:rPr>
        <w:t>Overcame the limitations of fullerene-based acceptors, such as their weak absorption and fixed energy levels.</w:t>
      </w:r>
    </w:p>
    <w:p w14:paraId="2D9B0C59">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Enabled spontaneous exciton dissociation, even in neat Y6 films, minimizing the need for high energy offsets.</w:t>
      </w:r>
    </w:p>
    <w:p w14:paraId="10103404">
      <w:pPr>
        <w:rPr>
          <w:rFonts w:ascii="Times New Roman" w:hAnsi="Times New Roman" w:cs="Times New Roman"/>
          <w:sz w:val="20"/>
          <w:szCs w:val="20"/>
        </w:rPr>
      </w:pPr>
      <w:r>
        <w:rPr>
          <w:rFonts w:hint="eastAsia" w:ascii="Times New Roman" w:hAnsi="Times New Roman" w:cs="Times New Roman"/>
          <w:sz w:val="20"/>
          <w:szCs w:val="20"/>
        </w:rPr>
        <w:t>Contribution to OSC Development:</w:t>
      </w:r>
    </w:p>
    <w:p w14:paraId="58A82D8E">
      <w:pPr>
        <w:ind w:firstLine="400" w:firstLineChars="200"/>
        <w:rPr>
          <w:rFonts w:ascii="Times New Roman" w:hAnsi="Times New Roman" w:cs="Times New Roman"/>
          <w:sz w:val="20"/>
          <w:szCs w:val="20"/>
        </w:rPr>
      </w:pPr>
      <w:r>
        <w:rPr>
          <w:rFonts w:hint="eastAsia" w:ascii="Times New Roman" w:hAnsi="Times New Roman" w:cs="Times New Roman"/>
          <w:sz w:val="20"/>
          <w:szCs w:val="20"/>
        </w:rPr>
        <w:t>Y6 has become a benchmark material in OSCs, forming effective blends with donor polymers like PM6.</w:t>
      </w:r>
    </w:p>
    <w:p w14:paraId="46E891F4">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These blends exhibit reduced voltage loss, improved morphology, and stability enhancements, advancing the field toward commercial viability.</w:t>
      </w:r>
    </w:p>
    <w:p w14:paraId="5F70071F">
      <w:pPr>
        <w:rPr>
          <w:rFonts w:ascii="Times New Roman" w:hAnsi="Times New Roman" w:cs="Times New Roman"/>
          <w:sz w:val="20"/>
          <w:szCs w:val="20"/>
        </w:rPr>
      </w:pPr>
      <w:r>
        <w:rPr>
          <w:rFonts w:hint="eastAsia" w:ascii="Times New Roman" w:hAnsi="Times New Roman" w:cs="Times New Roman"/>
          <w:sz w:val="20"/>
          <w:szCs w:val="20"/>
        </w:rPr>
        <w:t>Ongoing Research and Challenges:</w:t>
      </w:r>
    </w:p>
    <w:p w14:paraId="67CE2765">
      <w:pPr>
        <w:ind w:firstLine="400" w:firstLineChars="200"/>
        <w:rPr>
          <w:rFonts w:ascii="Times New Roman" w:hAnsi="Times New Roman" w:cs="Times New Roman"/>
          <w:sz w:val="20"/>
          <w:szCs w:val="20"/>
        </w:rPr>
      </w:pPr>
      <w:r>
        <w:rPr>
          <w:rFonts w:hint="eastAsia" w:ascii="Times New Roman" w:hAnsi="Times New Roman" w:cs="Times New Roman"/>
          <w:sz w:val="20"/>
          <w:szCs w:val="20"/>
        </w:rPr>
        <w:t>Efforts continue to resolve uncertainties regarding energy levels and specific roles of triplet states in recombination.</w:t>
      </w:r>
    </w:p>
    <w:p w14:paraId="6ACA468C">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Stability issues, such as morphological degradation and molecular diffusion, remain key challenges to address.</w:t>
      </w:r>
    </w:p>
    <w:p w14:paraId="6A143D63">
      <w:pPr>
        <w:rPr>
          <w:rFonts w:ascii="Times New Roman" w:hAnsi="Times New Roman" w:cs="Times New Roman"/>
          <w:sz w:val="20"/>
          <w:szCs w:val="20"/>
        </w:rPr>
      </w:pPr>
      <w:r>
        <w:rPr>
          <w:rFonts w:hint="eastAsia" w:ascii="Times New Roman" w:hAnsi="Times New Roman" w:cs="Times New Roman"/>
          <w:sz w:val="20"/>
          <w:szCs w:val="20"/>
        </w:rPr>
        <w:t>Commercial Prospects:</w:t>
      </w:r>
    </w:p>
    <w:p w14:paraId="2583F547">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Y6 holds promise for future applications in tandem and semitransparent devices, with ongoing work aimed at reducing material costs, improving scalability, and enhancing stability.</w:t>
      </w:r>
    </w:p>
    <w:p w14:paraId="11CD8B1D">
      <w:pPr>
        <w:rPr>
          <w:rFonts w:ascii="Times New Roman" w:hAnsi="Times New Roman" w:cs="Times New Roman"/>
          <w:sz w:val="20"/>
          <w:szCs w:val="20"/>
        </w:rPr>
      </w:pPr>
      <w:r>
        <w:rPr>
          <w:rFonts w:hint="eastAsia" w:ascii="Times New Roman" w:hAnsi="Times New Roman" w:cs="Times New Roman"/>
          <w:sz w:val="20"/>
          <w:szCs w:val="20"/>
        </w:rPr>
        <w:t>Design Principles Behind Y6</w:t>
      </w:r>
    </w:p>
    <w:p w14:paraId="67E7F9AC">
      <w:pPr>
        <w:ind w:firstLine="400" w:firstLineChars="200"/>
        <w:rPr>
          <w:rFonts w:ascii="Times New Roman" w:hAnsi="Times New Roman" w:cs="Times New Roman"/>
          <w:sz w:val="20"/>
          <w:szCs w:val="20"/>
        </w:rPr>
      </w:pPr>
      <w:r>
        <w:rPr>
          <w:rFonts w:hint="eastAsia" w:ascii="Times New Roman" w:hAnsi="Times New Roman" w:cs="Times New Roman"/>
          <w:sz w:val="20"/>
          <w:szCs w:val="20"/>
        </w:rPr>
        <w:t>A-DA'D-A Molecular Design Concept:</w:t>
      </w:r>
    </w:p>
    <w:p w14:paraId="49622CB3">
      <w:pPr>
        <w:ind w:firstLine="400" w:firstLineChars="200"/>
        <w:rPr>
          <w:rFonts w:ascii="Times New Roman" w:hAnsi="Times New Roman" w:cs="Times New Roman"/>
          <w:sz w:val="20"/>
          <w:szCs w:val="20"/>
        </w:rPr>
      </w:pPr>
      <w:r>
        <w:rPr>
          <w:rFonts w:hint="eastAsia" w:ascii="Times New Roman" w:hAnsi="Times New Roman" w:cs="Times New Roman"/>
          <w:sz w:val="20"/>
          <w:szCs w:val="20"/>
        </w:rPr>
        <w:t>Configuration: The Y6 molecular design follows an A-DA'D-A architecture, where:</w:t>
      </w:r>
    </w:p>
    <w:p w14:paraId="5659BA79">
      <w:pPr>
        <w:ind w:firstLine="400" w:firstLineChars="200"/>
        <w:rPr>
          <w:rFonts w:ascii="Times New Roman" w:hAnsi="Times New Roman" w:cs="Times New Roman"/>
          <w:sz w:val="20"/>
          <w:szCs w:val="20"/>
        </w:rPr>
      </w:pPr>
      <w:r>
        <w:rPr>
          <w:rFonts w:hint="eastAsia" w:ascii="Times New Roman" w:hAnsi="Times New Roman" w:cs="Times New Roman"/>
          <w:sz w:val="20"/>
          <w:szCs w:val="20"/>
        </w:rPr>
        <w:t>"A" refers to electron-withdrawing units located at the terminals.</w:t>
      </w:r>
    </w:p>
    <w:p w14:paraId="4B539FEE">
      <w:pPr>
        <w:ind w:firstLine="400" w:firstLineChars="200"/>
        <w:rPr>
          <w:rFonts w:ascii="Times New Roman" w:hAnsi="Times New Roman" w:cs="Times New Roman"/>
          <w:sz w:val="20"/>
          <w:szCs w:val="20"/>
        </w:rPr>
      </w:pPr>
      <w:r>
        <w:rPr>
          <w:rFonts w:hint="eastAsia" w:ascii="Times New Roman" w:hAnsi="Times New Roman" w:cs="Times New Roman"/>
          <w:sz w:val="20"/>
          <w:szCs w:val="20"/>
        </w:rPr>
        <w:t>"DA'D" represents a central fused backbone with ladder-type electron-deficient units.</w:t>
      </w:r>
    </w:p>
    <w:p w14:paraId="622B3D7C">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Significance: This configuration enhances intramolecular charge transfer (ICT), resulting in a low optical bandgap, broad light absorption in the near-infrared region, and stronger absorption coefficients.</w:t>
      </w:r>
    </w:p>
    <w:p w14:paraId="22DE31A8">
      <w:pPr>
        <w:rPr>
          <w:rFonts w:ascii="Times New Roman" w:hAnsi="Times New Roman" w:cs="Times New Roman"/>
          <w:sz w:val="20"/>
          <w:szCs w:val="20"/>
        </w:rPr>
      </w:pPr>
      <w:r>
        <w:rPr>
          <w:rFonts w:hint="eastAsia" w:ascii="Times New Roman" w:hAnsi="Times New Roman" w:cs="Times New Roman"/>
          <w:sz w:val="20"/>
          <w:szCs w:val="20"/>
        </w:rPr>
        <w:t>Electron-Deficient Core:</w:t>
      </w:r>
    </w:p>
    <w:p w14:paraId="4123BD8B">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 design employs a dithienothiophen[3,2-b]-pyrrolobenzothiadiazole core. This core features sp</w:t>
      </w:r>
      <w:r>
        <w:rPr>
          <w:rFonts w:ascii="Times New Roman" w:hAnsi="Times New Roman" w:cs="Times New Roman"/>
          <w:sz w:val="20"/>
          <w:szCs w:val="20"/>
        </w:rPr>
        <w:t>²</w:t>
      </w:r>
      <w:r>
        <w:rPr>
          <w:rFonts w:hint="eastAsia" w:ascii="Times New Roman" w:hAnsi="Times New Roman" w:cs="Times New Roman"/>
          <w:sz w:val="20"/>
          <w:szCs w:val="20"/>
        </w:rPr>
        <w:t>-hybridized nitrogen in the pyrrole motif, which improves electron-donating/withdrawing characteristics and molecular stability.</w:t>
      </w:r>
    </w:p>
    <w:p w14:paraId="7ECB468B">
      <w:pPr>
        <w:rPr>
          <w:rFonts w:ascii="Times New Roman" w:hAnsi="Times New Roman" w:cs="Times New Roman"/>
          <w:sz w:val="20"/>
          <w:szCs w:val="20"/>
        </w:rPr>
      </w:pPr>
      <w:r>
        <w:rPr>
          <w:rFonts w:hint="eastAsia" w:ascii="Times New Roman" w:hAnsi="Times New Roman" w:cs="Times New Roman"/>
          <w:sz w:val="20"/>
          <w:szCs w:val="20"/>
        </w:rPr>
        <w:t>End Groups:</w:t>
      </w:r>
    </w:p>
    <w:p w14:paraId="575E3A88">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 end groups are 2-(5,6-difluoro-3-oxo-2,3-dihydro-1H-inden-1-ylidene) malononitrile. These electron-accepting units increase the molecular dipole moment, leading to stronger interactions at donor-acceptor interfaces and efficient charge transfer.</w:t>
      </w:r>
    </w:p>
    <w:p w14:paraId="54ACBC13">
      <w:pPr>
        <w:rPr>
          <w:rFonts w:ascii="Times New Roman" w:hAnsi="Times New Roman" w:cs="Times New Roman"/>
          <w:sz w:val="20"/>
          <w:szCs w:val="20"/>
        </w:rPr>
      </w:pPr>
      <w:r>
        <w:rPr>
          <w:rFonts w:hint="eastAsia" w:ascii="Times New Roman" w:hAnsi="Times New Roman" w:cs="Times New Roman"/>
          <w:sz w:val="20"/>
          <w:szCs w:val="20"/>
        </w:rPr>
        <w:t>Bandgap and Energy Levels:</w:t>
      </w:r>
    </w:p>
    <w:p w14:paraId="34B246D0">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Y6 exhibits a narrow optical bandgap (~1.33 eV), with LUMO (-4.10 eV) and HOMO (-5.65 eV) optimized to match the donor polymer PM6. These energy levels ensure efficient charge separation and reduced voltage losses in organic photovoltaic devices.</w:t>
      </w:r>
    </w:p>
    <w:p w14:paraId="7AFC5AA8">
      <w:pPr>
        <w:rPr>
          <w:rFonts w:ascii="Times New Roman" w:hAnsi="Times New Roman" w:cs="Times New Roman"/>
          <w:sz w:val="20"/>
          <w:szCs w:val="20"/>
        </w:rPr>
      </w:pPr>
      <w:r>
        <w:rPr>
          <w:rFonts w:hint="eastAsia" w:ascii="Times New Roman" w:hAnsi="Times New Roman" w:cs="Times New Roman"/>
          <w:sz w:val="20"/>
          <w:szCs w:val="20"/>
        </w:rPr>
        <w:t>Quadrupolar Moment:</w:t>
      </w:r>
    </w:p>
    <w:p w14:paraId="3E2EC7B2">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Y6 molecules have a large quadrupolar electrostatic moment due to balanced charge distributions within the molecule. This property facilitates barrier-free dissociation of charge transfer (CT) states, enabling high free-charge generation.</w:t>
      </w:r>
    </w:p>
    <w:p w14:paraId="2D103C00">
      <w:pPr>
        <w:rPr>
          <w:rFonts w:ascii="Times New Roman" w:hAnsi="Times New Roman" w:cs="Times New Roman"/>
          <w:sz w:val="20"/>
          <w:szCs w:val="20"/>
        </w:rPr>
      </w:pPr>
      <w:r>
        <w:rPr>
          <w:rFonts w:hint="eastAsia" w:ascii="Times New Roman" w:hAnsi="Times New Roman" w:cs="Times New Roman"/>
          <w:sz w:val="20"/>
          <w:szCs w:val="20"/>
        </w:rPr>
        <w:t>Conformational Rigidity:</w:t>
      </w:r>
    </w:p>
    <w:p w14:paraId="62DA9042">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 A-DA'D-A structure’s rigidity reduces energetic disorders and minimizes sub-gap trap states, enhancing carrier mobility, reducing charge recombination, and preserving device efficiency.</w:t>
      </w:r>
    </w:p>
    <w:p w14:paraId="3F225D2C">
      <w:pPr>
        <w:rPr>
          <w:rFonts w:ascii="Times New Roman" w:hAnsi="Times New Roman" w:cs="Times New Roman"/>
          <w:sz w:val="20"/>
          <w:szCs w:val="20"/>
        </w:rPr>
      </w:pPr>
      <w:r>
        <w:rPr>
          <w:rFonts w:hint="eastAsia" w:ascii="Times New Roman" w:hAnsi="Times New Roman" w:cs="Times New Roman"/>
          <w:sz w:val="20"/>
          <w:szCs w:val="20"/>
        </w:rPr>
        <w:t>Morphological Features:</w:t>
      </w:r>
    </w:p>
    <w:p w14:paraId="245D367B">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Y6 is designed to form crystalline domains and interact strongly with donor polymers like PM6. This leads to balanced bicontinuous phases and an optimal bulk heterojunction (BHJ) morphology, which is critical for exciton dissociation and charge transport.</w:t>
      </w:r>
    </w:p>
    <w:p w14:paraId="3DEE85E2">
      <w:pPr>
        <w:rPr>
          <w:rFonts w:ascii="Times New Roman" w:hAnsi="Times New Roman" w:cs="Times New Roman"/>
          <w:sz w:val="20"/>
          <w:szCs w:val="20"/>
        </w:rPr>
      </w:pPr>
      <w:r>
        <w:rPr>
          <w:rFonts w:hint="eastAsia" w:ascii="Times New Roman" w:hAnsi="Times New Roman" w:cs="Times New Roman"/>
          <w:sz w:val="20"/>
          <w:szCs w:val="20"/>
        </w:rPr>
        <w:t>Near-Infrared Light Absorption:</w:t>
      </w:r>
    </w:p>
    <w:p w14:paraId="02930DF7">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 molecular design enables absorption in the 700–931 nm range, providing complementary absorption to PM6 (~500-700 nm). This broad absorption spectrum significantly increases the photocurrent.</w:t>
      </w:r>
    </w:p>
    <w:p w14:paraId="261D35C6">
      <w:pPr>
        <w:rPr>
          <w:rFonts w:ascii="Times New Roman" w:hAnsi="Times New Roman" w:cs="Times New Roman"/>
          <w:sz w:val="20"/>
          <w:szCs w:val="20"/>
        </w:rPr>
      </w:pPr>
      <w:r>
        <w:rPr>
          <w:rFonts w:hint="eastAsia" w:ascii="Times New Roman" w:hAnsi="Times New Roman" w:cs="Times New Roman"/>
          <w:sz w:val="20"/>
          <w:szCs w:val="20"/>
        </w:rPr>
        <w:t>Thermal and Air Stability:</w:t>
      </w:r>
    </w:p>
    <w:p w14:paraId="51226878">
      <w:pPr>
        <w:ind w:firstLine="400" w:firstLineChars="200"/>
        <w:rPr>
          <w:rFonts w:hint="eastAsia" w:ascii="Times New Roman" w:hAnsi="Times New Roman" w:cs="Times New Roman"/>
          <w:sz w:val="20"/>
          <w:szCs w:val="20"/>
        </w:rPr>
      </w:pPr>
      <w:r>
        <w:rPr>
          <w:rFonts w:hint="eastAsia" w:ascii="Times New Roman" w:hAnsi="Times New Roman" w:cs="Times New Roman"/>
          <w:sz w:val="20"/>
          <w:szCs w:val="20"/>
        </w:rPr>
        <w:t>The architecture and molecular interactions render Y6 relatively stable under operational conditions, contributing to device longevity.</w:t>
      </w:r>
    </w:p>
    <w:p w14:paraId="2CF0C5E8">
      <w:pPr>
        <w:spacing w:after="156" w:afterLines="50"/>
        <w:ind w:firstLine="400" w:firstLineChars="200"/>
        <w:rPr>
          <w:rFonts w:hint="eastAsia" w:ascii="Times New Roman" w:hAnsi="Times New Roman" w:cs="Times New Roman"/>
          <w:sz w:val="20"/>
          <w:szCs w:val="20"/>
        </w:rPr>
      </w:pPr>
      <w:r>
        <w:rPr>
          <w:rFonts w:hint="eastAsia" w:ascii="Times New Roman" w:hAnsi="Times New Roman" w:cs="Times New Roman"/>
          <w:sz w:val="20"/>
          <w:szCs w:val="20"/>
        </w:rPr>
        <w:t>These design principles make Y6 a high-performance non-fullerene acceptor (NFA) for organic photovoltaic applications, achieving power conversion efficiencies (PCEs) above 15% when paired with donor polymers like PM6.</w:t>
      </w:r>
    </w:p>
    <w:p w14:paraId="439B772E">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4CF3F52E">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The emergence of the non-fullerene acceptor Y6, chemically known as BTP-4F, represents one of the most significant </w:t>
      </w:r>
      <w:r>
        <w:rPr>
          <w:rFonts w:ascii="Times New Roman" w:hAnsi="Times New Roman" w:cs="Times New Roman"/>
          <w:sz w:val="20"/>
          <w:szCs w:val="20"/>
        </w:rPr>
        <w:t>paradigms</w:t>
      </w:r>
      <w:r>
        <w:rPr>
          <w:rFonts w:hint="eastAsia" w:ascii="Times New Roman" w:hAnsi="Times New Roman" w:cs="Times New Roman"/>
          <w:sz w:val="20"/>
          <w:szCs w:val="20"/>
        </w:rPr>
        <w:t xml:space="preserve"> shifts in the field of organic photovoltaics. Its introduction completely redefined the performance limits of organic solar cells, enabling single-junction devices to leap from modest efficiencies into the highly competitive regime of commercial viability.</w:t>
      </w:r>
    </w:p>
    <w:p w14:paraId="3EEDABE4">
      <w:pPr>
        <w:rPr>
          <w:rFonts w:ascii="Times New Roman" w:hAnsi="Times New Roman" w:cs="Times New Roman"/>
          <w:sz w:val="20"/>
          <w:szCs w:val="20"/>
        </w:rPr>
      </w:pPr>
      <w:r>
        <w:rPr>
          <w:rFonts w:hint="eastAsia" w:ascii="Times New Roman" w:hAnsi="Times New Roman" w:cs="Times New Roman"/>
          <w:sz w:val="20"/>
          <w:szCs w:val="20"/>
        </w:rPr>
        <w:t>The History and Development of Y6:</w:t>
      </w:r>
    </w:p>
    <w:p w14:paraId="4821246A">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Pre-Y6 Landscape and the Fullerene Era: To understand the historical significance of Y6, it is essential to look at the landscape of organic photovoltaics prior to its invention. For decades, organic solar cells were dominated by fullerene derivatives. While fullerenes possessed excellent electron mobility and favorable phase-separation properties when blended with polymer donors, they suffered from severe intrinsic limitations. They exhibited weak absorption in the visible and near-infrared regions, and their energy levels were extremely difficult to tune through chemical synthesis. This resulted in a hard ceiling for power conversion efficiencies, which stagnated around the 11-12% mark.</w:t>
      </w:r>
    </w:p>
    <w:p w14:paraId="63ECA9F8">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Rise of Non-Fullerene Acceptors: The first major breakthrough to break the fullerene monopoly was the development of A-D-A (Acceptor-Donor-Acceptor) type non-fullerene acceptors, most notably ITIC. This molecule featured a fused electron-donating core flanked by electron-withdrawing end groups. The ITIC family allowed for broader light absorption and easily tunable energy levels, pushing efficiencies to the 13-14% range. However, researchers quickly encountered a new bottleneck: pushing the absorption spectrum further into the near-infrared region to capture more solar energy invariably led to a significant drop in the lowest unoccupied molecular orbital (LUMO) level. This resulted in a detrimental trade-off, where an increase in short-circuit current was heavily penalized by massive non-radiative energy losses and a severe drop in the open-circuit voltage.</w:t>
      </w:r>
    </w:p>
    <w:p w14:paraId="0F9013FA">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Invention and Breakthrough of Y6: The critical turning point occurred in 2019. Recognizing the limitations of the traditional A-D-A molecular framework, researchers undertook a fundamental redesign of the acceptor backbone. The evolutionary process began with the conceptualization of the "Y-series" molecules. Early iterations focused on extending the conjugation length and introducing different heteroatoms into the fused core.</w:t>
      </w:r>
    </w:p>
    <w:p w14:paraId="1C025F57">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 crowning achievement of this development phase was Y6. By introducing a completely novel A-DA'D-A molecular architecture, researchers successfully decoupled the traditional trade-off between bandgap and voltage loss. When the Y6 acceptor was blended with the polymer donor PM6, the resulting organic solar cell achieved a certified power conversion efficiency of 15.7%, an unprecedented milestone at the time. This shattered the existing psychological and technical barriers in the field.</w:t>
      </w:r>
    </w:p>
    <w:p w14:paraId="7D0BF253">
      <w:pPr>
        <w:rPr>
          <w:rFonts w:ascii="Times New Roman" w:hAnsi="Times New Roman" w:cs="Times New Roman"/>
          <w:sz w:val="20"/>
          <w:szCs w:val="20"/>
        </w:rPr>
      </w:pPr>
      <w:r>
        <w:rPr>
          <w:rFonts w:hint="eastAsia" w:ascii="Times New Roman" w:hAnsi="Times New Roman" w:cs="Times New Roman"/>
          <w:sz w:val="20"/>
          <w:szCs w:val="20"/>
        </w:rPr>
        <w:t>Post-Y6 Evolution and Legacy:</w:t>
      </w:r>
    </w:p>
    <w:p w14:paraId="5F0D37BB">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 introduction of Y6 served as the foundation for an explosive period of materials science research. It became the universal benchmark and the starting point for countless molecular engineering efforts. Following its discovery, the organic photovoltaic community rapidly iterated upon the Y6 skeleton. Researchers discovered that exchanging the fluorine atoms on the end groups for chlorine atoms yielded Y7 (BTP-4Cl), which altered the molecular packing and further pushed efficiencies. Subsequent engineering of the alkyl side chains led to derivatives like L8-BO, which optimized the phase separation morphology to an extraordinary degree. Today, building upon the foundational architecture of Y6, single-junction organic solar cells have successfully surpassed the 19% and 20% efficiency thresholds, establishing organic photovoltaics as a formidable technology for next-generation energy generation.</w:t>
      </w:r>
    </w:p>
    <w:p w14:paraId="3125FE05">
      <w:pPr>
        <w:rPr>
          <w:rFonts w:ascii="Times New Roman" w:hAnsi="Times New Roman" w:cs="Times New Roman"/>
          <w:sz w:val="20"/>
          <w:szCs w:val="20"/>
        </w:rPr>
      </w:pPr>
      <w:r>
        <w:rPr>
          <w:rFonts w:hint="eastAsia" w:ascii="Times New Roman" w:hAnsi="Times New Roman" w:cs="Times New Roman"/>
          <w:sz w:val="20"/>
          <w:szCs w:val="20"/>
        </w:rPr>
        <w:t>Design Principles Behind Y6:</w:t>
      </w:r>
    </w:p>
    <w:p w14:paraId="39BA14A3">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design of Y6 is based on the A-DA'D-A architecture, where A represents an acceptor unit, D represents a donor unit, and A' represents a different acceptor unit. This design allows for fine-tuning of the electronic properties and molecular interactions, leading to improved light absorption, charge transport, and overall device performance. The key design principles include:</w:t>
      </w:r>
    </w:p>
    <w:p w14:paraId="0A9427B3">
      <w:pPr>
        <w:ind w:firstLine="400" w:firstLineChars="200"/>
        <w:rPr>
          <w:rFonts w:ascii="Times New Roman" w:hAnsi="Times New Roman" w:cs="Times New Roman"/>
          <w:sz w:val="20"/>
          <w:szCs w:val="20"/>
        </w:rPr>
      </w:pPr>
      <w:r>
        <w:rPr>
          <w:rFonts w:hint="eastAsia" w:ascii="Times New Roman" w:hAnsi="Times New Roman" w:cs="Times New Roman"/>
          <w:sz w:val="20"/>
          <w:szCs w:val="20"/>
        </w:rPr>
        <w:t>Molecular Engineering: Modifying the length and functional groups of the polymer to optimize the band gap and electronic properties.</w:t>
      </w:r>
    </w:p>
    <w:p w14:paraId="3052D118">
      <w:pPr>
        <w:ind w:firstLine="400" w:firstLineChars="200"/>
        <w:rPr>
          <w:rFonts w:ascii="Times New Roman" w:hAnsi="Times New Roman" w:cs="Times New Roman"/>
          <w:sz w:val="20"/>
          <w:szCs w:val="20"/>
        </w:rPr>
      </w:pPr>
      <w:r>
        <w:rPr>
          <w:rFonts w:hint="eastAsia" w:ascii="Times New Roman" w:hAnsi="Times New Roman" w:cs="Times New Roman"/>
          <w:sz w:val="20"/>
          <w:szCs w:val="20"/>
        </w:rPr>
        <w:t>High Optical Absorption Coefficient: Ensuring that a large amount of light can be absorbed with a small amount of material.</w:t>
      </w:r>
    </w:p>
    <w:p w14:paraId="39808B33">
      <w:pPr>
        <w:ind w:firstLine="400" w:firstLineChars="200"/>
        <w:rPr>
          <w:rFonts w:ascii="Times New Roman" w:hAnsi="Times New Roman" w:cs="Times New Roman"/>
          <w:sz w:val="20"/>
          <w:szCs w:val="20"/>
        </w:rPr>
      </w:pPr>
      <w:r>
        <w:rPr>
          <w:rFonts w:hint="eastAsia" w:ascii="Times New Roman" w:hAnsi="Times New Roman" w:cs="Times New Roman"/>
          <w:sz w:val="20"/>
          <w:szCs w:val="20"/>
        </w:rPr>
        <w:t>Solution Processability: Enabling high-throughput and low-cost fabrication processes.</w:t>
      </w:r>
    </w:p>
    <w:p w14:paraId="4F741B9F">
      <w:pPr>
        <w:ind w:firstLine="400" w:firstLineChars="200"/>
        <w:rPr>
          <w:rFonts w:ascii="Times New Roman" w:hAnsi="Times New Roman" w:cs="Times New Roman"/>
          <w:sz w:val="20"/>
          <w:szCs w:val="20"/>
        </w:rPr>
      </w:pPr>
      <w:r>
        <w:rPr>
          <w:rFonts w:hint="eastAsia" w:ascii="Times New Roman" w:hAnsi="Times New Roman" w:cs="Times New Roman"/>
          <w:sz w:val="20"/>
          <w:szCs w:val="20"/>
        </w:rPr>
        <w:t>Flexibility and Customizability: Allowing for the creation of flexible and customizable solar cells with potential applications in various fields, such as transparent windows and flexible electronics.</w:t>
      </w:r>
    </w:p>
    <w:p w14:paraId="7A27F579">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Overall, Y6 represents a significant advancement in the field of organic photovoltaics, combining high efficiency with the potential for low-cost and flexible solar cell applications.</w:t>
      </w:r>
    </w:p>
    <w:p w14:paraId="011AE30C">
      <w:pPr>
        <w:pStyle w:val="31"/>
        <w:numPr>
          <w:ilvl w:val="0"/>
          <w:numId w:val="1"/>
        </w:numPr>
        <w:outlineLvl w:val="0"/>
        <w:rPr>
          <w:rFonts w:ascii="Times New Roman" w:hAnsi="Times New Roman" w:cs="Times New Roman"/>
          <w:b/>
          <w:bCs/>
          <w:color w:val="2E75B6" w:themeColor="accent5" w:themeShade="BF"/>
          <w:szCs w:val="21"/>
        </w:rPr>
      </w:pPr>
      <w:r>
        <w:rPr>
          <w:rFonts w:ascii="Times New Roman" w:hAnsi="Times New Roman" w:cs="Times New Roman"/>
          <w:b/>
          <w:bCs/>
          <w:color w:val="2E75B6" w:themeColor="accent5" w:themeShade="BF"/>
          <w:szCs w:val="21"/>
        </w:rPr>
        <w:t>The concept and advantages of quasi-macromolecule.</w:t>
      </w:r>
    </w:p>
    <w:p w14:paraId="3754C5B8">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A:</w:t>
      </w:r>
    </w:p>
    <w:p w14:paraId="668392EE">
      <w:pPr>
        <w:rPr>
          <w:rFonts w:ascii="Times New Roman" w:hAnsi="Times New Roman" w:cs="Times New Roman"/>
          <w:b/>
          <w:bCs/>
          <w:szCs w:val="21"/>
        </w:rPr>
      </w:pPr>
      <w:r>
        <w:rPr>
          <w:rFonts w:hint="eastAsia" w:ascii="Times New Roman" w:hAnsi="Times New Roman" w:cs="Times New Roman"/>
          <w:sz w:val="20"/>
          <w:szCs w:val="20"/>
        </w:rPr>
        <w:t xml:space="preserve">1. </w:t>
      </w:r>
      <w:r>
        <w:rPr>
          <w:rFonts w:ascii="Times New Roman" w:hAnsi="Times New Roman" w:cs="Times New Roman"/>
          <w:sz w:val="20"/>
          <w:szCs w:val="20"/>
        </w:rPr>
        <w:t>Concept</w:t>
      </w:r>
      <w:r>
        <w:rPr>
          <w:rFonts w:ascii="Times New Roman" w:hAnsi="Times New Roman" w:cs="Times New Roman"/>
          <w:b/>
          <w:bCs/>
          <w:szCs w:val="21"/>
        </w:rPr>
        <w:t xml:space="preserve"> </w:t>
      </w:r>
      <w:r>
        <w:rPr>
          <w:rFonts w:ascii="Times New Roman" w:hAnsi="Times New Roman" w:cs="Times New Roman"/>
          <w:sz w:val="20"/>
          <w:szCs w:val="20"/>
        </w:rPr>
        <w:t>of</w:t>
      </w:r>
      <w:r>
        <w:rPr>
          <w:rFonts w:ascii="Times New Roman" w:hAnsi="Times New Roman" w:cs="Times New Roman"/>
          <w:b/>
          <w:bCs/>
          <w:szCs w:val="21"/>
        </w:rPr>
        <w:t xml:space="preserve"> </w:t>
      </w:r>
      <w:r>
        <w:rPr>
          <w:rFonts w:ascii="Times New Roman" w:hAnsi="Times New Roman" w:cs="Times New Roman"/>
          <w:sz w:val="20"/>
          <w:szCs w:val="20"/>
        </w:rPr>
        <w:t>Quasi</w:t>
      </w:r>
      <w:r>
        <w:rPr>
          <w:rFonts w:ascii="Times New Roman" w:hAnsi="Times New Roman" w:cs="Times New Roman"/>
          <w:b/>
          <w:bCs/>
          <w:szCs w:val="21"/>
        </w:rPr>
        <w:t>-</w:t>
      </w:r>
      <w:r>
        <w:rPr>
          <w:rFonts w:ascii="Times New Roman" w:hAnsi="Times New Roman" w:cs="Times New Roman"/>
          <w:sz w:val="20"/>
          <w:szCs w:val="20"/>
        </w:rPr>
        <w:t>Macromolecule</w:t>
      </w:r>
      <w:r>
        <w:rPr>
          <w:rFonts w:ascii="Times New Roman" w:hAnsi="Times New Roman" w:cs="Times New Roman"/>
          <w:b/>
          <w:bCs/>
          <w:szCs w:val="21"/>
        </w:rPr>
        <w:t>:</w:t>
      </w:r>
    </w:p>
    <w:p w14:paraId="598C010C">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A quasi-macromolecule refers to a molecular structure that behaves similarly to a macromolecule but is constructed from small molecules through strong intermolecular interactions, such as π-π stacking, hydrogen bonding, or van der Waals forces. Unlike true macromolecules (e.g., polymers), quasi-macromolecules retain the well-defined molecular structures of small molecules while exhibiting macromolecular-like properties.</w:t>
      </w:r>
    </w:p>
    <w:p w14:paraId="1EDA5FDD">
      <w:pPr>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Advantages of Quasi-Macromolecules:</w:t>
      </w:r>
    </w:p>
    <w:p w14:paraId="107264BD">
      <w:pPr>
        <w:ind w:firstLine="400" w:firstLineChars="200"/>
        <w:rPr>
          <w:rFonts w:ascii="Times New Roman" w:hAnsi="Times New Roman" w:cs="Times New Roman"/>
          <w:sz w:val="20"/>
          <w:szCs w:val="20"/>
        </w:rPr>
      </w:pPr>
      <w:r>
        <w:rPr>
          <w:rFonts w:ascii="Times New Roman" w:hAnsi="Times New Roman" w:cs="Times New Roman"/>
          <w:sz w:val="20"/>
          <w:szCs w:val="20"/>
        </w:rPr>
        <w:t>Well-Defined Molecular Structure:</w:t>
      </w:r>
      <w:r>
        <w:rPr>
          <w:rFonts w:hint="eastAsia" w:ascii="Times New Roman" w:hAnsi="Times New Roman" w:cs="Times New Roman"/>
          <w:sz w:val="20"/>
          <w:szCs w:val="20"/>
        </w:rPr>
        <w:t xml:space="preserve"> </w:t>
      </w:r>
      <w:r>
        <w:rPr>
          <w:rFonts w:ascii="Times New Roman" w:hAnsi="Times New Roman" w:cs="Times New Roman"/>
          <w:sz w:val="20"/>
          <w:szCs w:val="20"/>
        </w:rPr>
        <w:t>Unlike polymers, quasi-macromolecules have precise molecular structures, ensuring batch-to-batch consistency.</w:t>
      </w:r>
    </w:p>
    <w:p w14:paraId="3A9CE70E">
      <w:pPr>
        <w:ind w:firstLine="400" w:firstLineChars="200"/>
        <w:rPr>
          <w:rFonts w:ascii="Times New Roman" w:hAnsi="Times New Roman" w:cs="Times New Roman"/>
          <w:sz w:val="20"/>
          <w:szCs w:val="20"/>
        </w:rPr>
      </w:pPr>
      <w:r>
        <w:rPr>
          <w:rFonts w:ascii="Times New Roman" w:hAnsi="Times New Roman" w:cs="Times New Roman"/>
          <w:sz w:val="20"/>
          <w:szCs w:val="20"/>
        </w:rPr>
        <w:t>Improved Processability:</w:t>
      </w:r>
      <w:r>
        <w:rPr>
          <w:rFonts w:hint="eastAsia" w:ascii="Times New Roman" w:hAnsi="Times New Roman" w:cs="Times New Roman"/>
          <w:sz w:val="20"/>
          <w:szCs w:val="20"/>
        </w:rPr>
        <w:t xml:space="preserve"> </w:t>
      </w:r>
      <w:r>
        <w:rPr>
          <w:rFonts w:ascii="Times New Roman" w:hAnsi="Times New Roman" w:cs="Times New Roman"/>
          <w:sz w:val="20"/>
          <w:szCs w:val="20"/>
        </w:rPr>
        <w:t>They exhibit good solubility and film-forming properties, making them easier to process.</w:t>
      </w:r>
    </w:p>
    <w:p w14:paraId="6F50246A">
      <w:pPr>
        <w:ind w:firstLine="400" w:firstLineChars="200"/>
        <w:rPr>
          <w:rFonts w:ascii="Times New Roman" w:hAnsi="Times New Roman" w:cs="Times New Roman"/>
          <w:sz w:val="20"/>
          <w:szCs w:val="20"/>
        </w:rPr>
      </w:pPr>
      <w:r>
        <w:rPr>
          <w:rFonts w:ascii="Times New Roman" w:hAnsi="Times New Roman" w:cs="Times New Roman"/>
          <w:sz w:val="20"/>
          <w:szCs w:val="20"/>
        </w:rPr>
        <w:t>Enhanced Charge Transport:</w:t>
      </w:r>
      <w:r>
        <w:rPr>
          <w:rFonts w:hint="eastAsia" w:ascii="Times New Roman" w:hAnsi="Times New Roman" w:cs="Times New Roman"/>
          <w:sz w:val="20"/>
          <w:szCs w:val="20"/>
        </w:rPr>
        <w:t xml:space="preserve"> </w:t>
      </w:r>
      <w:r>
        <w:rPr>
          <w:rFonts w:ascii="Times New Roman" w:hAnsi="Times New Roman" w:cs="Times New Roman"/>
          <w:sz w:val="20"/>
          <w:szCs w:val="20"/>
        </w:rPr>
        <w:t>Strong intermolecular interactions (e.g., π-π stacking) promote efficient charge transport.</w:t>
      </w:r>
    </w:p>
    <w:p w14:paraId="0F9CAFE3">
      <w:pPr>
        <w:ind w:firstLine="400" w:firstLineChars="200"/>
        <w:rPr>
          <w:rFonts w:ascii="Times New Roman" w:hAnsi="Times New Roman" w:cs="Times New Roman"/>
          <w:sz w:val="20"/>
          <w:szCs w:val="20"/>
        </w:rPr>
      </w:pPr>
      <w:r>
        <w:rPr>
          <w:rFonts w:ascii="Times New Roman" w:hAnsi="Times New Roman" w:cs="Times New Roman"/>
          <w:sz w:val="20"/>
          <w:szCs w:val="20"/>
        </w:rPr>
        <w:t>Tunable Properties:</w:t>
      </w:r>
      <w:r>
        <w:rPr>
          <w:rFonts w:hint="eastAsia" w:ascii="Times New Roman" w:hAnsi="Times New Roman" w:cs="Times New Roman"/>
          <w:sz w:val="20"/>
          <w:szCs w:val="20"/>
        </w:rPr>
        <w:t xml:space="preserve"> </w:t>
      </w:r>
      <w:r>
        <w:rPr>
          <w:rFonts w:ascii="Times New Roman" w:hAnsi="Times New Roman" w:cs="Times New Roman"/>
          <w:sz w:val="20"/>
          <w:szCs w:val="20"/>
        </w:rPr>
        <w:t>Their electronic and optical properties can be precisely tuned via molecular design.</w:t>
      </w:r>
    </w:p>
    <w:p w14:paraId="4B898567">
      <w:pPr>
        <w:ind w:firstLine="400" w:firstLineChars="200"/>
        <w:rPr>
          <w:rFonts w:ascii="Times New Roman" w:hAnsi="Times New Roman" w:cs="Times New Roman"/>
          <w:sz w:val="20"/>
          <w:szCs w:val="20"/>
        </w:rPr>
      </w:pPr>
      <w:r>
        <w:rPr>
          <w:rFonts w:ascii="Times New Roman" w:hAnsi="Times New Roman" w:cs="Times New Roman"/>
          <w:sz w:val="20"/>
          <w:szCs w:val="20"/>
        </w:rPr>
        <w:t>Morphology Control:</w:t>
      </w:r>
      <w:r>
        <w:rPr>
          <w:rFonts w:hint="eastAsia" w:ascii="Times New Roman" w:hAnsi="Times New Roman" w:cs="Times New Roman"/>
          <w:sz w:val="20"/>
          <w:szCs w:val="20"/>
        </w:rPr>
        <w:t xml:space="preserve"> </w:t>
      </w:r>
      <w:r>
        <w:rPr>
          <w:rFonts w:ascii="Times New Roman" w:hAnsi="Times New Roman" w:cs="Times New Roman"/>
          <w:sz w:val="20"/>
          <w:szCs w:val="20"/>
        </w:rPr>
        <w:t>Quasi-macromolecules enable better control over blend morphology in organic solar cells, improving device performance.</w:t>
      </w:r>
    </w:p>
    <w:p w14:paraId="42DBBD48">
      <w:pPr>
        <w:ind w:firstLine="400" w:firstLineChars="200"/>
        <w:rPr>
          <w:rFonts w:ascii="Times New Roman" w:hAnsi="Times New Roman" w:cs="Times New Roman"/>
          <w:sz w:val="20"/>
          <w:szCs w:val="20"/>
        </w:rPr>
      </w:pPr>
      <w:r>
        <w:rPr>
          <w:rFonts w:ascii="Times New Roman" w:hAnsi="Times New Roman" w:cs="Times New Roman"/>
          <w:sz w:val="20"/>
          <w:szCs w:val="20"/>
        </w:rPr>
        <w:t>High Stability:</w:t>
      </w:r>
      <w:r>
        <w:rPr>
          <w:rFonts w:hint="eastAsia" w:ascii="Times New Roman" w:hAnsi="Times New Roman" w:cs="Times New Roman"/>
          <w:sz w:val="20"/>
          <w:szCs w:val="20"/>
        </w:rPr>
        <w:t xml:space="preserve"> </w:t>
      </w:r>
      <w:r>
        <w:rPr>
          <w:rFonts w:ascii="Times New Roman" w:hAnsi="Times New Roman" w:cs="Times New Roman"/>
          <w:sz w:val="20"/>
          <w:szCs w:val="20"/>
        </w:rPr>
        <w:t>They exhibit thermal and photochemical stability due to their robust molecular frameworks.</w:t>
      </w:r>
    </w:p>
    <w:p w14:paraId="63B1D0E3">
      <w:pPr>
        <w:ind w:firstLine="400" w:firstLineChars="200"/>
        <w:rPr>
          <w:rFonts w:ascii="Times New Roman" w:hAnsi="Times New Roman" w:cs="Times New Roman"/>
          <w:sz w:val="20"/>
          <w:szCs w:val="20"/>
        </w:rPr>
      </w:pPr>
      <w:r>
        <w:rPr>
          <w:rFonts w:ascii="Times New Roman" w:hAnsi="Times New Roman" w:cs="Times New Roman"/>
          <w:sz w:val="20"/>
          <w:szCs w:val="20"/>
        </w:rPr>
        <w:t>Versatility:</w:t>
      </w:r>
      <w:r>
        <w:rPr>
          <w:rFonts w:hint="eastAsia" w:ascii="Times New Roman" w:hAnsi="Times New Roman" w:cs="Times New Roman"/>
          <w:sz w:val="20"/>
          <w:szCs w:val="20"/>
        </w:rPr>
        <w:t xml:space="preserve"> </w:t>
      </w:r>
      <w:r>
        <w:rPr>
          <w:rFonts w:ascii="Times New Roman" w:hAnsi="Times New Roman" w:cs="Times New Roman"/>
          <w:sz w:val="20"/>
          <w:szCs w:val="20"/>
        </w:rPr>
        <w:t>Can combine the advantages of both small molecules (e.g., well-defined structure) and polymers (e.g., macromolecular behavior).</w:t>
      </w:r>
    </w:p>
    <w:p w14:paraId="2AD05A7B">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These properties make quasi-macromolecules ideal candidates for applications in organic electronics, particularly organic solar cells and organic field-effect transistors.</w:t>
      </w:r>
    </w:p>
    <w:p w14:paraId="4D3C7C1B">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B</w:t>
      </w:r>
      <w:r>
        <w:rPr>
          <w:rFonts w:hint="eastAsia" w:ascii="Times New Roman" w:hAnsi="Times New Roman" w:cs="Times New Roman"/>
          <w:b/>
          <w:bCs/>
          <w:szCs w:val="21"/>
        </w:rPr>
        <w:t>:</w:t>
      </w:r>
    </w:p>
    <w:p w14:paraId="72E5C7EA">
      <w:pPr>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Concept:</w:t>
      </w:r>
    </w:p>
    <w:p w14:paraId="743343B5">
      <w:pPr>
        <w:ind w:firstLine="400" w:firstLineChars="200"/>
        <w:rPr>
          <w:rFonts w:ascii="Times New Roman" w:hAnsi="Times New Roman" w:cs="Times New Roman"/>
          <w:sz w:val="20"/>
          <w:szCs w:val="20"/>
        </w:rPr>
      </w:pPr>
      <w:r>
        <w:rPr>
          <w:rFonts w:ascii="Times New Roman" w:hAnsi="Times New Roman" w:cs="Times New Roman"/>
          <w:sz w:val="20"/>
          <w:szCs w:val="20"/>
        </w:rPr>
        <w:t>Quasi-macromolecules refer to a unique class of molecular structures that combines characteristics of both macromolecules and small molecules. They are typically designed through precise chemical manipulations to optimize molecular weight distribution, conjugation length, and interaction patterns.</w:t>
      </w:r>
    </w:p>
    <w:p w14:paraId="7B948F19">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They are composed of highly conjugated arrangements with repeating units, but their overall size and structure position them between classic polymers (macromolecules) and small molecules. Quasi-macromolecules can thereby bridge the gap between the two classes, offering benefits tailored to specific applications.</w:t>
      </w:r>
    </w:p>
    <w:p w14:paraId="0D42A64D">
      <w:pPr>
        <w:rPr>
          <w:rFonts w:ascii="Times New Roman" w:hAnsi="Times New Roman" w:cs="Times New Roman"/>
          <w:szCs w:val="21"/>
        </w:rPr>
      </w:pPr>
      <w:r>
        <w:rPr>
          <w:rFonts w:hint="eastAsia" w:ascii="Times New Roman" w:hAnsi="Times New Roman" w:cs="Times New Roman"/>
          <w:szCs w:val="21"/>
        </w:rPr>
        <w:t xml:space="preserve">2. </w:t>
      </w:r>
      <w:r>
        <w:rPr>
          <w:rFonts w:ascii="Times New Roman" w:hAnsi="Times New Roman" w:cs="Times New Roman"/>
          <w:szCs w:val="21"/>
        </w:rPr>
        <w:t>Advantages:</w:t>
      </w:r>
    </w:p>
    <w:p w14:paraId="024A1E8F">
      <w:pPr>
        <w:ind w:firstLine="400" w:firstLineChars="200"/>
        <w:rPr>
          <w:rFonts w:ascii="Times New Roman" w:hAnsi="Times New Roman" w:cs="Times New Roman"/>
          <w:sz w:val="20"/>
          <w:szCs w:val="20"/>
        </w:rPr>
      </w:pPr>
      <w:r>
        <w:rPr>
          <w:rFonts w:ascii="Times New Roman" w:hAnsi="Times New Roman" w:cs="Times New Roman"/>
          <w:sz w:val="20"/>
          <w:szCs w:val="20"/>
        </w:rPr>
        <w:t>Improved Electronic Properties:</w:t>
      </w:r>
      <w:r>
        <w:rPr>
          <w:rFonts w:hint="eastAsia" w:ascii="Times New Roman" w:hAnsi="Times New Roman" w:cs="Times New Roman"/>
          <w:sz w:val="20"/>
          <w:szCs w:val="20"/>
        </w:rPr>
        <w:t xml:space="preserve"> </w:t>
      </w:r>
      <w:r>
        <w:rPr>
          <w:rFonts w:ascii="Times New Roman" w:hAnsi="Times New Roman" w:cs="Times New Roman"/>
          <w:sz w:val="20"/>
          <w:szCs w:val="20"/>
        </w:rPr>
        <w:t>Quasi-macromolecules provide superior charge carrier mobility and electronic performance due to their well-ordered crystalline structures and extended conjugation pathways, beneficial for applications like organic solar cells and transistors.</w:t>
      </w:r>
    </w:p>
    <w:p w14:paraId="6DE8F075">
      <w:pPr>
        <w:ind w:firstLine="400" w:firstLineChars="200"/>
        <w:rPr>
          <w:rFonts w:ascii="Times New Roman" w:hAnsi="Times New Roman" w:cs="Times New Roman"/>
          <w:sz w:val="20"/>
          <w:szCs w:val="20"/>
        </w:rPr>
      </w:pPr>
      <w:r>
        <w:rPr>
          <w:rFonts w:ascii="Times New Roman" w:hAnsi="Times New Roman" w:cs="Times New Roman"/>
          <w:sz w:val="20"/>
          <w:szCs w:val="20"/>
        </w:rPr>
        <w:t>Solution Processability:</w:t>
      </w:r>
      <w:r>
        <w:rPr>
          <w:rFonts w:hint="eastAsia" w:ascii="Times New Roman" w:hAnsi="Times New Roman" w:cs="Times New Roman"/>
          <w:sz w:val="20"/>
          <w:szCs w:val="20"/>
        </w:rPr>
        <w:t xml:space="preserve"> </w:t>
      </w:r>
      <w:r>
        <w:rPr>
          <w:rFonts w:ascii="Times New Roman" w:hAnsi="Times New Roman" w:cs="Times New Roman"/>
          <w:sz w:val="20"/>
          <w:szCs w:val="20"/>
        </w:rPr>
        <w:t>Unlike traditional macromolecules, quasi-macromolecules often maintain solubility similar to small molecules, enabling solution-based deposition methods like spin-coating for scalable device fabrication.</w:t>
      </w:r>
    </w:p>
    <w:p w14:paraId="530243CF">
      <w:pPr>
        <w:ind w:firstLine="400" w:firstLineChars="200"/>
        <w:rPr>
          <w:rFonts w:ascii="Times New Roman" w:hAnsi="Times New Roman" w:cs="Times New Roman"/>
          <w:sz w:val="20"/>
          <w:szCs w:val="20"/>
        </w:rPr>
      </w:pPr>
      <w:r>
        <w:rPr>
          <w:rFonts w:ascii="Times New Roman" w:hAnsi="Times New Roman" w:cs="Times New Roman"/>
          <w:sz w:val="20"/>
          <w:szCs w:val="20"/>
        </w:rPr>
        <w:t>Tunable Optoelectronic Features: Their design flexibility allows precise tuning of bandgaps and molecular energy levels, enhancing light absorption and enabling high-efficiency photovoltaic devices.</w:t>
      </w:r>
    </w:p>
    <w:p w14:paraId="54E271F2">
      <w:pPr>
        <w:ind w:firstLine="400" w:firstLineChars="200"/>
        <w:rPr>
          <w:rFonts w:ascii="Times New Roman" w:hAnsi="Times New Roman" w:cs="Times New Roman"/>
          <w:sz w:val="20"/>
          <w:szCs w:val="20"/>
        </w:rPr>
      </w:pPr>
      <w:r>
        <w:rPr>
          <w:rFonts w:ascii="Times New Roman" w:hAnsi="Times New Roman" w:cs="Times New Roman"/>
          <w:sz w:val="20"/>
          <w:szCs w:val="20"/>
        </w:rPr>
        <w:t>Enhanced Morphological Control:</w:t>
      </w:r>
      <w:r>
        <w:rPr>
          <w:rFonts w:hint="eastAsia" w:ascii="Times New Roman" w:hAnsi="Times New Roman" w:cs="Times New Roman"/>
          <w:sz w:val="20"/>
          <w:szCs w:val="20"/>
        </w:rPr>
        <w:t xml:space="preserve"> </w:t>
      </w:r>
      <w:r>
        <w:rPr>
          <w:rFonts w:ascii="Times New Roman" w:hAnsi="Times New Roman" w:cs="Times New Roman"/>
          <w:sz w:val="20"/>
          <w:szCs w:val="20"/>
        </w:rPr>
        <w:t>Quasi-macromolecules exhibit improved self-assembly and morphological stability due to their intermediate structure, which enhances phase separation in donor-acceptor mixtures for bulk heterojunction solar cells.</w:t>
      </w:r>
    </w:p>
    <w:p w14:paraId="6BFF37D2">
      <w:pPr>
        <w:ind w:firstLine="400" w:firstLineChars="200"/>
        <w:rPr>
          <w:rFonts w:ascii="Times New Roman" w:hAnsi="Times New Roman" w:cs="Times New Roman"/>
          <w:sz w:val="20"/>
          <w:szCs w:val="20"/>
        </w:rPr>
      </w:pPr>
      <w:r>
        <w:rPr>
          <w:rFonts w:ascii="Times New Roman" w:hAnsi="Times New Roman" w:cs="Times New Roman"/>
          <w:sz w:val="20"/>
          <w:szCs w:val="20"/>
        </w:rPr>
        <w:t>Reduced Recombination Losses:</w:t>
      </w:r>
      <w:r>
        <w:rPr>
          <w:rFonts w:hint="eastAsia" w:ascii="Times New Roman" w:hAnsi="Times New Roman" w:cs="Times New Roman"/>
          <w:sz w:val="20"/>
          <w:szCs w:val="20"/>
        </w:rPr>
        <w:t xml:space="preserve"> </w:t>
      </w:r>
      <w:r>
        <w:rPr>
          <w:rFonts w:ascii="Times New Roman" w:hAnsi="Times New Roman" w:cs="Times New Roman"/>
          <w:sz w:val="20"/>
          <w:szCs w:val="20"/>
        </w:rPr>
        <w:t>With molecular engineering, quasi-macromolecules allow for suppressing non-radiative recombination processes, thereby improving power conversion efficiencies.</w:t>
      </w:r>
    </w:p>
    <w:p w14:paraId="45699B48">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Thermal and Mechanical Stability: Their regulated size and structure prevent many limitations associated with small molecules, such as crystallization-induced degradation, while retaining flexibility compared to rigid macromolecules. This balances durability and performance.</w:t>
      </w:r>
    </w:p>
    <w:p w14:paraId="24E53BA2">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49643DC6">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Quasi-macromolecules represent a class of materials that blurs the lines between traditional small molecules and large polymers. They are designed to exhibit macromolecular-like properties without being true polymers, offering a unique combination of advantages, especially in organic electronics.</w:t>
      </w:r>
    </w:p>
    <w:p w14:paraId="181FAA1E">
      <w:pPr>
        <w:rPr>
          <w:rFonts w:ascii="Times New Roman" w:hAnsi="Times New Roman" w:cs="Times New Roman"/>
          <w:sz w:val="20"/>
          <w:szCs w:val="20"/>
        </w:rPr>
      </w:pPr>
      <w:r>
        <w:rPr>
          <w:rFonts w:hint="eastAsia" w:ascii="Times New Roman" w:hAnsi="Times New Roman" w:cs="Times New Roman"/>
          <w:sz w:val="20"/>
          <w:szCs w:val="20"/>
        </w:rPr>
        <w:t>1. The Concept of Quasi-Macromolecules:</w:t>
      </w:r>
    </w:p>
    <w:p w14:paraId="4EF8C76E">
      <w:pPr>
        <w:ind w:firstLine="400" w:firstLineChars="200"/>
        <w:rPr>
          <w:rFonts w:ascii="Times New Roman" w:hAnsi="Times New Roman" w:cs="Times New Roman"/>
          <w:sz w:val="20"/>
          <w:szCs w:val="20"/>
        </w:rPr>
      </w:pPr>
      <w:r>
        <w:rPr>
          <w:rFonts w:hint="eastAsia" w:ascii="Times New Roman" w:hAnsi="Times New Roman" w:cs="Times New Roman"/>
          <w:sz w:val="20"/>
          <w:szCs w:val="20"/>
        </w:rPr>
        <w:t>Quasi-macromolecules are distinct molecular entities that share characteristics with both small molecules and polymers. Unlike polymers, they don't consist of long chains of repeating monomer units linked by covalent bonds. Instead, they are carefully designed molecules that exhibit macromolecular behavior due to:</w:t>
      </w:r>
    </w:p>
    <w:p w14:paraId="14E60256">
      <w:pPr>
        <w:ind w:firstLine="400" w:firstLineChars="200"/>
        <w:rPr>
          <w:rFonts w:ascii="Times New Roman" w:hAnsi="Times New Roman" w:cs="Times New Roman"/>
          <w:sz w:val="20"/>
          <w:szCs w:val="20"/>
        </w:rPr>
      </w:pPr>
      <w:r>
        <w:rPr>
          <w:rFonts w:hint="eastAsia" w:ascii="Times New Roman" w:hAnsi="Times New Roman" w:cs="Times New Roman"/>
          <w:sz w:val="20"/>
          <w:szCs w:val="20"/>
        </w:rPr>
        <w:t>Intermediate Size and Complexity: They are larger and more complex than typical small molecules but smaller and less structurally diverse than polymers.</w:t>
      </w:r>
    </w:p>
    <w:p w14:paraId="0B8C3691">
      <w:pPr>
        <w:ind w:firstLine="400" w:firstLineChars="200"/>
        <w:rPr>
          <w:rFonts w:ascii="Times New Roman" w:hAnsi="Times New Roman" w:cs="Times New Roman"/>
          <w:sz w:val="20"/>
          <w:szCs w:val="20"/>
        </w:rPr>
      </w:pPr>
      <w:r>
        <w:rPr>
          <w:rFonts w:hint="eastAsia" w:ascii="Times New Roman" w:hAnsi="Times New Roman" w:cs="Times New Roman"/>
          <w:sz w:val="20"/>
          <w:szCs w:val="20"/>
        </w:rPr>
        <w:t>Extended Conjugation: Often feature extensively conjugated pi-systems, allowing for electron delocalization.</w:t>
      </w:r>
    </w:p>
    <w:p w14:paraId="3DD8594D">
      <w:pPr>
        <w:ind w:firstLine="400" w:firstLineChars="200"/>
        <w:rPr>
          <w:rFonts w:ascii="Times New Roman" w:hAnsi="Times New Roman" w:cs="Times New Roman"/>
          <w:sz w:val="20"/>
          <w:szCs w:val="20"/>
        </w:rPr>
      </w:pPr>
      <w:r>
        <w:rPr>
          <w:rFonts w:hint="eastAsia" w:ascii="Times New Roman" w:hAnsi="Times New Roman" w:cs="Times New Roman"/>
          <w:sz w:val="20"/>
          <w:szCs w:val="20"/>
        </w:rPr>
        <w:t>Strong Intermolecular Interactions: Designed to engage in strong, directional interactions like pi-pi stacking, hydrogen bonding, or halogen bonding, leading to self-assembly.</w:t>
      </w:r>
    </w:p>
    <w:p w14:paraId="4F917A40">
      <w:pPr>
        <w:ind w:firstLine="400" w:firstLineChars="200"/>
        <w:rPr>
          <w:rFonts w:ascii="Times New Roman" w:hAnsi="Times New Roman" w:cs="Times New Roman"/>
          <w:sz w:val="20"/>
          <w:szCs w:val="20"/>
        </w:rPr>
      </w:pPr>
      <w:r>
        <w:rPr>
          <w:rFonts w:hint="eastAsia" w:ascii="Times New Roman" w:hAnsi="Times New Roman" w:cs="Times New Roman"/>
          <w:sz w:val="20"/>
          <w:szCs w:val="20"/>
        </w:rPr>
        <w:t>Controlled Self-Assembly: The strong interactions facilitate predictable self-assembly into ordered structures.</w:t>
      </w:r>
    </w:p>
    <w:p w14:paraId="51EA39B8">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Defined Chemical Structure: Possess a precise, monodisperse chemical structure, unlike the statistical distribution in polymers.</w:t>
      </w:r>
    </w:p>
    <w:p w14:paraId="05781EEB">
      <w:pPr>
        <w:rPr>
          <w:rFonts w:ascii="Times New Roman" w:hAnsi="Times New Roman" w:cs="Times New Roman"/>
          <w:sz w:val="20"/>
          <w:szCs w:val="20"/>
        </w:rPr>
      </w:pPr>
      <w:r>
        <w:rPr>
          <w:rFonts w:hint="eastAsia" w:ascii="Times New Roman" w:hAnsi="Times New Roman" w:cs="Times New Roman"/>
          <w:sz w:val="20"/>
          <w:szCs w:val="20"/>
        </w:rPr>
        <w:t>2. Advantages of Quasi-Macromolecules:</w:t>
      </w:r>
    </w:p>
    <w:p w14:paraId="75AFD0CC">
      <w:pPr>
        <w:ind w:firstLine="400" w:firstLineChars="200"/>
        <w:rPr>
          <w:rFonts w:ascii="Times New Roman" w:hAnsi="Times New Roman" w:cs="Times New Roman"/>
          <w:sz w:val="20"/>
          <w:szCs w:val="20"/>
        </w:rPr>
      </w:pPr>
      <w:r>
        <w:rPr>
          <w:rFonts w:hint="eastAsia" w:ascii="Times New Roman" w:hAnsi="Times New Roman" w:cs="Times New Roman"/>
          <w:sz w:val="20"/>
          <w:szCs w:val="20"/>
        </w:rPr>
        <w:t>Quasi-macromolecules offer several key advantages, particularly in organic electronics:</w:t>
      </w:r>
    </w:p>
    <w:p w14:paraId="07275237">
      <w:pPr>
        <w:ind w:firstLine="400" w:firstLineChars="200"/>
        <w:rPr>
          <w:rFonts w:ascii="Times New Roman" w:hAnsi="Times New Roman" w:cs="Times New Roman"/>
          <w:sz w:val="20"/>
          <w:szCs w:val="20"/>
        </w:rPr>
      </w:pPr>
      <w:r>
        <w:rPr>
          <w:rFonts w:hint="eastAsia" w:ascii="Times New Roman" w:hAnsi="Times New Roman" w:cs="Times New Roman"/>
          <w:sz w:val="20"/>
          <w:szCs w:val="20"/>
        </w:rPr>
        <w:t>High Synthetic Control and Purity: Their precise structure allows for high purity and monodispersity, leading to reproducible material properties, unlike the mix of chain lengths in polymers.</w:t>
      </w:r>
    </w:p>
    <w:p w14:paraId="34375521">
      <w:pPr>
        <w:ind w:firstLine="400" w:firstLineChars="200"/>
        <w:rPr>
          <w:rFonts w:ascii="Times New Roman" w:hAnsi="Times New Roman" w:cs="Times New Roman"/>
          <w:sz w:val="20"/>
          <w:szCs w:val="20"/>
        </w:rPr>
      </w:pPr>
      <w:r>
        <w:rPr>
          <w:rFonts w:hint="eastAsia" w:ascii="Times New Roman" w:hAnsi="Times New Roman" w:cs="Times New Roman"/>
          <w:sz w:val="20"/>
          <w:szCs w:val="20"/>
        </w:rPr>
        <w:t>Tunable Electronic Properties: Precise molecular engineering allows for tuning of electronic properties like energy levels and absorption spectra.</w:t>
      </w:r>
    </w:p>
    <w:p w14:paraId="05A27903">
      <w:pPr>
        <w:ind w:firstLine="400" w:firstLineChars="200"/>
        <w:rPr>
          <w:rFonts w:ascii="Times New Roman" w:hAnsi="Times New Roman" w:cs="Times New Roman"/>
          <w:sz w:val="20"/>
          <w:szCs w:val="20"/>
        </w:rPr>
      </w:pPr>
      <w:r>
        <w:rPr>
          <w:rFonts w:hint="eastAsia" w:ascii="Times New Roman" w:hAnsi="Times New Roman" w:cs="Times New Roman"/>
          <w:sz w:val="20"/>
          <w:szCs w:val="20"/>
        </w:rPr>
        <w:t>Enhanced Charge Transport: Extended conjugation and strong interactions promote efficient charge transport through ordered pathways.</w:t>
      </w:r>
    </w:p>
    <w:p w14:paraId="4569C3D6">
      <w:pPr>
        <w:ind w:firstLine="400" w:firstLineChars="200"/>
        <w:rPr>
          <w:rFonts w:ascii="Times New Roman" w:hAnsi="Times New Roman" w:cs="Times New Roman"/>
          <w:sz w:val="20"/>
          <w:szCs w:val="20"/>
        </w:rPr>
      </w:pPr>
      <w:r>
        <w:rPr>
          <w:rFonts w:hint="eastAsia" w:ascii="Times New Roman" w:hAnsi="Times New Roman" w:cs="Times New Roman"/>
          <w:sz w:val="20"/>
          <w:szCs w:val="20"/>
        </w:rPr>
        <w:t>Optimized Film Morphology: Designed to self-assemble into ideal blend morphologies, promoting efficient exciton dissociation and charge extraction.</w:t>
      </w:r>
    </w:p>
    <w:p w14:paraId="4310AC97">
      <w:pPr>
        <w:ind w:firstLine="400" w:firstLineChars="200"/>
        <w:rPr>
          <w:rFonts w:ascii="Times New Roman" w:hAnsi="Times New Roman" w:cs="Times New Roman"/>
          <w:sz w:val="20"/>
          <w:szCs w:val="20"/>
        </w:rPr>
      </w:pPr>
      <w:r>
        <w:rPr>
          <w:rFonts w:hint="eastAsia" w:ascii="Times New Roman" w:hAnsi="Times New Roman" w:cs="Times New Roman"/>
          <w:sz w:val="20"/>
          <w:szCs w:val="20"/>
        </w:rPr>
        <w:t>Reduced Energy Losses: Their rigid and planar nature, combined with strong intermolecular forces, often leads to low non-radiative energy losses.</w:t>
      </w:r>
    </w:p>
    <w:p w14:paraId="273B5B13">
      <w:pPr>
        <w:ind w:firstLine="400" w:firstLineChars="200"/>
        <w:rPr>
          <w:rFonts w:ascii="Times New Roman" w:hAnsi="Times New Roman" w:cs="Times New Roman"/>
          <w:sz w:val="20"/>
          <w:szCs w:val="20"/>
        </w:rPr>
      </w:pPr>
      <w:r>
        <w:rPr>
          <w:rFonts w:hint="eastAsia" w:ascii="Times New Roman" w:hAnsi="Times New Roman" w:cs="Times New Roman"/>
          <w:sz w:val="20"/>
          <w:szCs w:val="20"/>
        </w:rPr>
        <w:t>Solution Processability: Can be processed using low-cost techniques like spin-coating.</w:t>
      </w:r>
    </w:p>
    <w:p w14:paraId="322DB1F3">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Thermal and Photochemical Stability: Designed for excellent thermal stability and resistance to photodegradation.</w:t>
      </w:r>
    </w:p>
    <w:p w14:paraId="7C4473C8">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In summary, quasi-macromolecules offer a balance between the precision of small molecules and the desirable properties of polymers, making them valuable in organic electronic applications.</w:t>
      </w:r>
    </w:p>
    <w:p w14:paraId="75DED1EE">
      <w:pPr>
        <w:pStyle w:val="31"/>
        <w:numPr>
          <w:ilvl w:val="0"/>
          <w:numId w:val="1"/>
        </w:numPr>
        <w:ind w:left="363" w:hanging="363"/>
        <w:outlineLvl w:val="0"/>
        <w:rPr>
          <w:rFonts w:ascii="Times New Roman" w:hAnsi="Times New Roman" w:cs="Times New Roman"/>
          <w:b/>
          <w:bCs/>
          <w:color w:val="2E75B6" w:themeColor="accent5" w:themeShade="BF"/>
          <w:szCs w:val="21"/>
        </w:rPr>
      </w:pPr>
      <w:r>
        <w:rPr>
          <w:rFonts w:hint="eastAsia" w:ascii="Times New Roman" w:hAnsi="Times New Roman" w:cs="Times New Roman"/>
          <w:b/>
          <w:bCs/>
          <w:color w:val="2E75B6" w:themeColor="accent5" w:themeShade="BF"/>
          <w:szCs w:val="21"/>
        </w:rPr>
        <w:t>List some small molecule and polymer molecule organic solar cell materials with near-infrared region II response</w:t>
      </w:r>
    </w:p>
    <w:p w14:paraId="2E4AE42F">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A</w:t>
      </w:r>
      <w:r>
        <w:rPr>
          <w:rFonts w:hint="eastAsia" w:ascii="Times New Roman" w:hAnsi="Times New Roman" w:cs="Times New Roman"/>
          <w:b/>
          <w:bCs/>
          <w:szCs w:val="21"/>
        </w:rPr>
        <w:t>:</w:t>
      </w:r>
    </w:p>
    <w:p w14:paraId="7EE8A843">
      <w:pPr>
        <w:spacing w:after="156" w:afterLines="50"/>
        <w:rPr>
          <w:rFonts w:ascii="Times New Roman" w:hAnsi="Times New Roman" w:cs="Times New Roman"/>
          <w:sz w:val="20"/>
          <w:szCs w:val="20"/>
        </w:rPr>
      </w:pPr>
      <w:r>
        <w:rPr>
          <w:rFonts w:ascii="Times New Roman" w:hAnsi="Times New Roman" w:cs="Times New Roman"/>
          <w:sz w:val="20"/>
          <w:szCs w:val="20"/>
        </w:rPr>
        <w:t>Here are some representative organic solar cell materials with a near-infrared (NIR) region II response (700</w:t>
      </w:r>
      <w:r>
        <w:rPr>
          <w:rFonts w:hint="eastAsia" w:ascii="Times New Roman" w:hAnsi="Times New Roman" w:cs="Times New Roman"/>
          <w:sz w:val="20"/>
          <w:szCs w:val="20"/>
        </w:rPr>
        <w:t>-</w:t>
      </w:r>
      <w:r>
        <w:rPr>
          <w:rFonts w:ascii="Times New Roman" w:hAnsi="Times New Roman" w:cs="Times New Roman"/>
          <w:sz w:val="20"/>
          <w:szCs w:val="20"/>
        </w:rPr>
        <w:t>1000</w:t>
      </w:r>
      <w:r>
        <w:rPr>
          <w:rFonts w:hint="eastAsia" w:ascii="Times New Roman" w:hAnsi="Times New Roman" w:cs="Times New Roman"/>
          <w:sz w:val="20"/>
          <w:szCs w:val="20"/>
        </w:rPr>
        <w:t>+</w:t>
      </w:r>
      <w:r>
        <w:rPr>
          <w:rFonts w:ascii="Times New Roman" w:hAnsi="Times New Roman" w:cs="Times New Roman"/>
          <w:sz w:val="20"/>
          <w:szCs w:val="20"/>
        </w:rPr>
        <w:t xml:space="preserve"> nm):</w:t>
      </w:r>
    </w:p>
    <w:p w14:paraId="7506E655">
      <w:pPr>
        <w:rPr>
          <w:rFonts w:ascii="Times New Roman" w:hAnsi="Times New Roman" w:cs="Times New Roman"/>
          <w:sz w:val="20"/>
          <w:szCs w:val="20"/>
          <w:highlight w:val="none"/>
        </w:rPr>
      </w:pPr>
      <w:r>
        <w:rPr>
          <w:rFonts w:ascii="Times New Roman" w:hAnsi="Times New Roman" w:cs="Times New Roman"/>
          <w:sz w:val="20"/>
          <w:szCs w:val="20"/>
          <w:highlight w:val="none"/>
        </w:rPr>
        <w:t>Small Molecules:</w:t>
      </w:r>
    </w:p>
    <w:p w14:paraId="24BF3D39">
      <w:pPr>
        <w:rPr>
          <w:rFonts w:ascii="Times New Roman" w:hAnsi="Times New Roman" w:cs="Times New Roman"/>
          <w:sz w:val="20"/>
          <w:szCs w:val="20"/>
          <w:highlight w:val="none"/>
        </w:rPr>
      </w:pPr>
      <w:r>
        <w:rPr>
          <w:rFonts w:ascii="Times New Roman" w:hAnsi="Times New Roman" w:cs="Times New Roman"/>
          <w:sz w:val="20"/>
          <w:szCs w:val="20"/>
          <w:highlight w:val="none"/>
        </w:rPr>
        <w:t>Y-Series Non-Fullerene Acceptors:</w:t>
      </w:r>
    </w:p>
    <w:p w14:paraId="579C6E60">
      <w:pPr>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Y6: Absorption up to ~930 nm.</w:t>
      </w:r>
    </w:p>
    <w:p w14:paraId="27433B55">
      <w:pPr>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Y7: Extended absorption beyond 950 nm.</w:t>
      </w:r>
    </w:p>
    <w:p w14:paraId="5947F947">
      <w:pPr>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Y12: Enhanced NIR absorption with a broader range.</w:t>
      </w:r>
    </w:p>
    <w:p w14:paraId="39330AFC">
      <w:pPr>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N3: Absorbs up to ~950 nm with high efficiency.</w:t>
      </w:r>
    </w:p>
    <w:p w14:paraId="0C39168A">
      <w:pPr>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BTP-eC9: Shows absorption up to ~1000 nm.</w:t>
      </w:r>
    </w:p>
    <w:p w14:paraId="05225AD1">
      <w:pPr>
        <w:rPr>
          <w:rFonts w:ascii="Times New Roman" w:hAnsi="Times New Roman" w:cs="Times New Roman"/>
          <w:sz w:val="20"/>
          <w:szCs w:val="20"/>
          <w:highlight w:val="none"/>
        </w:rPr>
      </w:pPr>
      <w:r>
        <w:rPr>
          <w:rFonts w:ascii="Times New Roman" w:hAnsi="Times New Roman" w:cs="Times New Roman"/>
          <w:sz w:val="20"/>
          <w:szCs w:val="20"/>
          <w:highlight w:val="none"/>
        </w:rPr>
        <w:t>ITIC-Based Acceptors:</w:t>
      </w:r>
    </w:p>
    <w:p w14:paraId="1202BDA0">
      <w:pPr>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ITIC: Absorption up to ~850 nm.</w:t>
      </w:r>
    </w:p>
    <w:p w14:paraId="0E31515C">
      <w:pPr>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IT-4F: Extended absorption to ~930 nm.</w:t>
      </w:r>
    </w:p>
    <w:p w14:paraId="5F264971">
      <w:pPr>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IDIC: Strong NIR absorption (up to ~900 nm).</w:t>
      </w:r>
    </w:p>
    <w:p w14:paraId="5ADC4E6A">
      <w:pPr>
        <w:rPr>
          <w:rFonts w:ascii="Times New Roman" w:hAnsi="Times New Roman" w:cs="Times New Roman"/>
          <w:sz w:val="20"/>
          <w:szCs w:val="20"/>
          <w:highlight w:val="none"/>
        </w:rPr>
      </w:pPr>
      <w:r>
        <w:rPr>
          <w:rFonts w:ascii="Times New Roman" w:hAnsi="Times New Roman" w:cs="Times New Roman"/>
          <w:sz w:val="20"/>
          <w:szCs w:val="20"/>
          <w:highlight w:val="none"/>
        </w:rPr>
        <w:t>Other Acceptors:</w:t>
      </w:r>
    </w:p>
    <w:p w14:paraId="50B91498">
      <w:pPr>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COi8DFIC: Absorbs up to ~1000 nm.</w:t>
      </w:r>
    </w:p>
    <w:p w14:paraId="300EB3CF">
      <w:pPr>
        <w:spacing w:after="156" w:afterLines="50"/>
        <w:ind w:firstLine="400" w:firstLineChars="200"/>
        <w:rPr>
          <w:rFonts w:ascii="Times New Roman" w:hAnsi="Times New Roman" w:cs="Times New Roman"/>
          <w:sz w:val="20"/>
          <w:szCs w:val="20"/>
          <w:highlight w:val="none"/>
        </w:rPr>
      </w:pPr>
      <w:r>
        <w:rPr>
          <w:rFonts w:ascii="Times New Roman" w:hAnsi="Times New Roman" w:cs="Times New Roman"/>
          <w:sz w:val="20"/>
          <w:szCs w:val="20"/>
          <w:highlight w:val="none"/>
        </w:rPr>
        <w:t>IEICO-4F: High NIR absorption beyond 950 nm.</w:t>
      </w:r>
    </w:p>
    <w:p w14:paraId="0FA52498">
      <w:pPr>
        <w:rPr>
          <w:rFonts w:ascii="Times New Roman" w:hAnsi="Times New Roman" w:cs="Times New Roman"/>
          <w:sz w:val="20"/>
          <w:szCs w:val="20"/>
          <w:highlight w:val="none"/>
        </w:rPr>
      </w:pPr>
      <w:r>
        <w:rPr>
          <w:rFonts w:ascii="Times New Roman" w:hAnsi="Times New Roman" w:cs="Times New Roman"/>
          <w:sz w:val="20"/>
          <w:szCs w:val="20"/>
          <w:highlight w:val="none"/>
        </w:rPr>
        <w:t>Polymer Donors:</w:t>
      </w:r>
    </w:p>
    <w:p w14:paraId="4D79A792">
      <w:pPr>
        <w:rPr>
          <w:rFonts w:ascii="Times New Roman" w:hAnsi="Times New Roman" w:cs="Times New Roman"/>
          <w:sz w:val="20"/>
          <w:szCs w:val="20"/>
          <w:highlight w:val="none"/>
        </w:rPr>
      </w:pPr>
      <w:r>
        <w:rPr>
          <w:rFonts w:ascii="Times New Roman" w:hAnsi="Times New Roman" w:cs="Times New Roman"/>
          <w:sz w:val="20"/>
          <w:szCs w:val="20"/>
          <w:highlight w:val="none"/>
        </w:rPr>
        <w:t>PM-Series Donors:</w:t>
      </w:r>
    </w:p>
    <w:p w14:paraId="4F1E6966">
      <w:pPr>
        <w:ind w:firstLine="400" w:firstLineChars="200"/>
        <w:rPr>
          <w:rFonts w:ascii="Times New Roman" w:hAnsi="Times New Roman" w:cs="Times New Roman"/>
          <w:sz w:val="20"/>
          <w:szCs w:val="20"/>
        </w:rPr>
      </w:pPr>
      <w:r>
        <w:rPr>
          <w:rFonts w:ascii="Times New Roman" w:hAnsi="Times New Roman" w:cs="Times New Roman"/>
          <w:sz w:val="20"/>
          <w:szCs w:val="20"/>
        </w:rPr>
        <w:t>PM6: Broad absorption ~300</w:t>
      </w:r>
      <w:r>
        <w:rPr>
          <w:rFonts w:hint="eastAsia" w:ascii="Times New Roman" w:hAnsi="Times New Roman" w:cs="Times New Roman"/>
          <w:sz w:val="20"/>
          <w:szCs w:val="20"/>
        </w:rPr>
        <w:t>-</w:t>
      </w:r>
      <w:r>
        <w:rPr>
          <w:rFonts w:ascii="Times New Roman" w:hAnsi="Times New Roman" w:cs="Times New Roman"/>
          <w:sz w:val="20"/>
          <w:szCs w:val="20"/>
        </w:rPr>
        <w:t>800 nm, complements NIR acceptors like Y6.</w:t>
      </w:r>
    </w:p>
    <w:p w14:paraId="0CB61866">
      <w:pPr>
        <w:ind w:firstLine="400" w:firstLineChars="200"/>
        <w:rPr>
          <w:rFonts w:ascii="Times New Roman" w:hAnsi="Times New Roman" w:cs="Times New Roman"/>
          <w:sz w:val="20"/>
          <w:szCs w:val="20"/>
        </w:rPr>
      </w:pPr>
      <w:r>
        <w:rPr>
          <w:rFonts w:ascii="Times New Roman" w:hAnsi="Times New Roman" w:cs="Times New Roman"/>
          <w:sz w:val="20"/>
          <w:szCs w:val="20"/>
        </w:rPr>
        <w:t>PM7: Improved absorption and energy level alignment.</w:t>
      </w:r>
    </w:p>
    <w:p w14:paraId="40D2BA86">
      <w:pPr>
        <w:rPr>
          <w:rFonts w:ascii="Times New Roman" w:hAnsi="Times New Roman" w:cs="Times New Roman"/>
          <w:sz w:val="20"/>
          <w:szCs w:val="20"/>
        </w:rPr>
      </w:pPr>
      <w:r>
        <w:rPr>
          <w:rFonts w:ascii="Times New Roman" w:hAnsi="Times New Roman" w:cs="Times New Roman"/>
          <w:sz w:val="20"/>
          <w:szCs w:val="20"/>
        </w:rPr>
        <w:t>PBDB-T Derivatives:</w:t>
      </w:r>
    </w:p>
    <w:p w14:paraId="6F4A8CBB">
      <w:pPr>
        <w:ind w:firstLine="400" w:firstLineChars="200"/>
        <w:rPr>
          <w:rFonts w:ascii="Times New Roman" w:hAnsi="Times New Roman" w:cs="Times New Roman"/>
          <w:sz w:val="20"/>
          <w:szCs w:val="20"/>
        </w:rPr>
      </w:pPr>
      <w:r>
        <w:rPr>
          <w:rFonts w:ascii="Times New Roman" w:hAnsi="Times New Roman" w:cs="Times New Roman"/>
          <w:sz w:val="20"/>
          <w:szCs w:val="20"/>
        </w:rPr>
        <w:t>PBDB-T: Absorbs up to ~700 nm, often paired with NIR acceptors.</w:t>
      </w:r>
    </w:p>
    <w:p w14:paraId="1A05CAE9">
      <w:pPr>
        <w:ind w:firstLine="400" w:firstLineChars="200"/>
        <w:rPr>
          <w:rFonts w:ascii="Times New Roman" w:hAnsi="Times New Roman" w:cs="Times New Roman"/>
          <w:sz w:val="20"/>
          <w:szCs w:val="20"/>
        </w:rPr>
      </w:pPr>
      <w:r>
        <w:rPr>
          <w:rFonts w:ascii="Times New Roman" w:hAnsi="Times New Roman" w:cs="Times New Roman"/>
          <w:sz w:val="20"/>
          <w:szCs w:val="20"/>
        </w:rPr>
        <w:t>PBDB-T-2F (PM7): Extended absorption and better efficiency.</w:t>
      </w:r>
    </w:p>
    <w:p w14:paraId="7A42971E">
      <w:pPr>
        <w:rPr>
          <w:rFonts w:ascii="Times New Roman" w:hAnsi="Times New Roman" w:cs="Times New Roman"/>
          <w:sz w:val="20"/>
          <w:szCs w:val="20"/>
        </w:rPr>
      </w:pPr>
      <w:r>
        <w:rPr>
          <w:rFonts w:ascii="Times New Roman" w:hAnsi="Times New Roman" w:cs="Times New Roman"/>
          <w:sz w:val="20"/>
          <w:szCs w:val="20"/>
        </w:rPr>
        <w:t>PTB-Series Polymers:</w:t>
      </w:r>
    </w:p>
    <w:p w14:paraId="67AC4951">
      <w:pPr>
        <w:ind w:firstLine="400" w:firstLineChars="200"/>
        <w:rPr>
          <w:rFonts w:ascii="Times New Roman" w:hAnsi="Times New Roman" w:cs="Times New Roman"/>
          <w:sz w:val="20"/>
          <w:szCs w:val="20"/>
        </w:rPr>
      </w:pPr>
      <w:r>
        <w:rPr>
          <w:rFonts w:ascii="Times New Roman" w:hAnsi="Times New Roman" w:cs="Times New Roman"/>
          <w:sz w:val="20"/>
          <w:szCs w:val="20"/>
        </w:rPr>
        <w:t>PTB7-Th: Absorbs up to ~850 nm, widely used with NIR acceptors.</w:t>
      </w:r>
    </w:p>
    <w:p w14:paraId="3878B5A7">
      <w:pPr>
        <w:rPr>
          <w:rFonts w:ascii="Times New Roman" w:hAnsi="Times New Roman" w:cs="Times New Roman"/>
          <w:sz w:val="20"/>
          <w:szCs w:val="20"/>
        </w:rPr>
      </w:pPr>
      <w:r>
        <w:rPr>
          <w:rFonts w:ascii="Times New Roman" w:hAnsi="Times New Roman" w:cs="Times New Roman"/>
          <w:sz w:val="20"/>
          <w:szCs w:val="20"/>
        </w:rPr>
        <w:t>PCE-Series Polymers:</w:t>
      </w:r>
    </w:p>
    <w:p w14:paraId="09DD8A95">
      <w:pPr>
        <w:ind w:firstLine="400" w:firstLineChars="200"/>
        <w:rPr>
          <w:rFonts w:ascii="Times New Roman" w:hAnsi="Times New Roman" w:cs="Times New Roman"/>
          <w:sz w:val="20"/>
          <w:szCs w:val="20"/>
        </w:rPr>
      </w:pPr>
      <w:r>
        <w:rPr>
          <w:rFonts w:ascii="Times New Roman" w:hAnsi="Times New Roman" w:cs="Times New Roman"/>
          <w:sz w:val="20"/>
          <w:szCs w:val="20"/>
        </w:rPr>
        <w:t>PCE10 (also known as PTB7-Th): Strong absorption up to ~850 nm.</w:t>
      </w:r>
    </w:p>
    <w:p w14:paraId="131A317A">
      <w:pPr>
        <w:ind w:firstLine="400" w:firstLineChars="200"/>
        <w:rPr>
          <w:rFonts w:ascii="Times New Roman" w:hAnsi="Times New Roman" w:cs="Times New Roman"/>
          <w:sz w:val="20"/>
          <w:szCs w:val="20"/>
        </w:rPr>
      </w:pPr>
      <w:r>
        <w:rPr>
          <w:rFonts w:ascii="Times New Roman" w:hAnsi="Times New Roman" w:cs="Times New Roman"/>
          <w:sz w:val="20"/>
          <w:szCs w:val="20"/>
        </w:rPr>
        <w:t>PCE11: Extended absorption in the NIR region.</w:t>
      </w:r>
    </w:p>
    <w:p w14:paraId="729D1517">
      <w:pPr>
        <w:rPr>
          <w:rFonts w:ascii="Times New Roman" w:hAnsi="Times New Roman" w:cs="Times New Roman"/>
          <w:sz w:val="20"/>
          <w:szCs w:val="20"/>
        </w:rPr>
      </w:pPr>
      <w:r>
        <w:rPr>
          <w:rFonts w:ascii="Times New Roman" w:hAnsi="Times New Roman" w:cs="Times New Roman"/>
          <w:sz w:val="20"/>
          <w:szCs w:val="20"/>
        </w:rPr>
        <w:t>D18-Series Polymers:</w:t>
      </w:r>
    </w:p>
    <w:p w14:paraId="0F3F0912">
      <w:pPr>
        <w:ind w:firstLine="400" w:firstLineChars="200"/>
        <w:rPr>
          <w:rFonts w:ascii="Times New Roman" w:hAnsi="Times New Roman" w:cs="Times New Roman"/>
          <w:sz w:val="20"/>
          <w:szCs w:val="20"/>
        </w:rPr>
      </w:pPr>
      <w:r>
        <w:rPr>
          <w:rFonts w:ascii="Times New Roman" w:hAnsi="Times New Roman" w:cs="Times New Roman"/>
          <w:sz w:val="20"/>
          <w:szCs w:val="20"/>
        </w:rPr>
        <w:t>D18: Absorbs up to ~800 nm, pairs well with NIR acceptors.</w:t>
      </w:r>
    </w:p>
    <w:p w14:paraId="004BB8CE">
      <w:pPr>
        <w:ind w:firstLine="400" w:firstLineChars="200"/>
        <w:rPr>
          <w:rFonts w:ascii="Times New Roman" w:hAnsi="Times New Roman" w:cs="Times New Roman"/>
          <w:sz w:val="20"/>
          <w:szCs w:val="20"/>
        </w:rPr>
      </w:pPr>
      <w:r>
        <w:rPr>
          <w:rFonts w:ascii="Times New Roman" w:hAnsi="Times New Roman" w:cs="Times New Roman"/>
          <w:sz w:val="20"/>
          <w:szCs w:val="20"/>
        </w:rPr>
        <w:t>D18-Cl: Improved absorption and efficiency.</w:t>
      </w:r>
    </w:p>
    <w:p w14:paraId="2A13B3F8">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These materials, when combined in donor-acceptor pairs, achieve strong absorption in the NIR-II region, enabling high power conversion efficiencies in organic solar cells.</w:t>
      </w:r>
    </w:p>
    <w:p w14:paraId="58083078">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B</w:t>
      </w:r>
      <w:r>
        <w:rPr>
          <w:rFonts w:hint="eastAsia" w:ascii="Times New Roman" w:hAnsi="Times New Roman" w:cs="Times New Roman"/>
          <w:b/>
          <w:bCs/>
          <w:szCs w:val="21"/>
        </w:rPr>
        <w:t>:</w:t>
      </w:r>
    </w:p>
    <w:p w14:paraId="757F048A">
      <w:pPr>
        <w:ind w:firstLine="400" w:firstLineChars="200"/>
        <w:rPr>
          <w:rFonts w:ascii="Times New Roman" w:hAnsi="Times New Roman" w:cs="Times New Roman"/>
          <w:sz w:val="20"/>
          <w:szCs w:val="20"/>
        </w:rPr>
      </w:pPr>
      <w:r>
        <w:rPr>
          <w:rFonts w:hint="eastAsia" w:ascii="Times New Roman" w:hAnsi="Times New Roman" w:cs="Times New Roman"/>
          <w:sz w:val="20"/>
          <w:szCs w:val="20"/>
        </w:rPr>
        <w:t>Here are some examples of small molecule and polymer organic solar cell (OSC) materials with near-infrared (NIR) region II (1000-1700 nm) response:</w:t>
      </w:r>
    </w:p>
    <w:p w14:paraId="24DE0BDC">
      <w:pPr>
        <w:rPr>
          <w:rFonts w:ascii="Times New Roman" w:hAnsi="Times New Roman" w:cs="Times New Roman"/>
          <w:sz w:val="20"/>
          <w:szCs w:val="20"/>
        </w:rPr>
      </w:pPr>
      <w:r>
        <w:rPr>
          <w:rFonts w:hint="eastAsia" w:ascii="Times New Roman" w:hAnsi="Times New Roman" w:cs="Times New Roman"/>
          <w:sz w:val="20"/>
          <w:szCs w:val="20"/>
        </w:rPr>
        <w:t>1. Polymer Molecule Materials</w:t>
      </w:r>
    </w:p>
    <w:p w14:paraId="7579B5C9">
      <w:pPr>
        <w:ind w:firstLine="400" w:firstLineChars="200"/>
        <w:rPr>
          <w:rFonts w:ascii="Times New Roman" w:hAnsi="Times New Roman" w:cs="Times New Roman"/>
          <w:sz w:val="20"/>
          <w:szCs w:val="20"/>
        </w:rPr>
      </w:pPr>
      <w:r>
        <w:rPr>
          <w:rFonts w:hint="eastAsia" w:ascii="Times New Roman" w:hAnsi="Times New Roman" w:cs="Times New Roman"/>
          <w:sz w:val="20"/>
          <w:szCs w:val="20"/>
        </w:rPr>
        <w:t>PDTTDPP (Polymer Donor)</w:t>
      </w:r>
    </w:p>
    <w:p w14:paraId="593FC911">
      <w:pPr>
        <w:ind w:firstLine="400" w:firstLineChars="200"/>
        <w:rPr>
          <w:rFonts w:ascii="Times New Roman" w:hAnsi="Times New Roman" w:cs="Times New Roman"/>
          <w:sz w:val="20"/>
          <w:szCs w:val="20"/>
        </w:rPr>
      </w:pPr>
      <w:r>
        <w:rPr>
          <w:rFonts w:hint="eastAsia" w:ascii="Times New Roman" w:hAnsi="Times New Roman" w:cs="Times New Roman"/>
          <w:sz w:val="20"/>
          <w:szCs w:val="20"/>
        </w:rPr>
        <w:t>Bandgap (Eg): 1.22 eV.</w:t>
      </w:r>
    </w:p>
    <w:p w14:paraId="5E149E27">
      <w:pPr>
        <w:ind w:firstLine="400" w:firstLineChars="200"/>
        <w:rPr>
          <w:rFonts w:ascii="Times New Roman" w:hAnsi="Times New Roman" w:cs="Times New Roman"/>
          <w:sz w:val="20"/>
          <w:szCs w:val="20"/>
        </w:rPr>
      </w:pPr>
      <w:r>
        <w:rPr>
          <w:rFonts w:ascii="Times New Roman" w:hAnsi="Times New Roman" w:cs="Times New Roman"/>
          <w:sz w:val="20"/>
          <w:szCs w:val="20"/>
        </w:rPr>
        <w:t>Performance Features: Demonstrated a high hole mobility of 0.60 cm² V⁻¹ s⁻¹ in organic field-effect transistors (OFETs) and achieved a power conversion efficiency (PCE) of 6.05% in OSCs with PC71BM.</w:t>
      </w:r>
    </w:p>
    <w:p w14:paraId="580429FD">
      <w:pPr>
        <w:ind w:firstLine="400" w:firstLineChars="200"/>
        <w:rPr>
          <w:rFonts w:ascii="Times New Roman" w:hAnsi="Times New Roman" w:cs="Times New Roman"/>
          <w:sz w:val="20"/>
          <w:szCs w:val="20"/>
        </w:rPr>
      </w:pPr>
      <w:r>
        <w:rPr>
          <w:rFonts w:hint="eastAsia" w:ascii="Times New Roman" w:hAnsi="Times New Roman" w:cs="Times New Roman"/>
          <w:sz w:val="20"/>
          <w:szCs w:val="20"/>
        </w:rPr>
        <w:t>PDPPTDTPT (Donor Polymer)</w:t>
      </w:r>
    </w:p>
    <w:p w14:paraId="32CBB75C">
      <w:pPr>
        <w:ind w:firstLine="400" w:firstLineChars="200"/>
        <w:rPr>
          <w:rFonts w:ascii="Times New Roman" w:hAnsi="Times New Roman" w:cs="Times New Roman"/>
          <w:sz w:val="20"/>
          <w:szCs w:val="20"/>
        </w:rPr>
      </w:pPr>
      <w:r>
        <w:rPr>
          <w:rFonts w:hint="eastAsia" w:ascii="Times New Roman" w:hAnsi="Times New Roman" w:cs="Times New Roman"/>
          <w:sz w:val="20"/>
          <w:szCs w:val="20"/>
        </w:rPr>
        <w:t>Bandgap (Eg): 1.23 eV.</w:t>
      </w:r>
    </w:p>
    <w:p w14:paraId="3A34744E">
      <w:pPr>
        <w:ind w:firstLine="400" w:firstLineChars="200"/>
        <w:rPr>
          <w:rFonts w:ascii="Times New Roman" w:hAnsi="Times New Roman" w:cs="Times New Roman"/>
          <w:sz w:val="20"/>
          <w:szCs w:val="20"/>
        </w:rPr>
      </w:pPr>
      <w:r>
        <w:rPr>
          <w:rFonts w:hint="eastAsia" w:ascii="Times New Roman" w:hAnsi="Times New Roman" w:cs="Times New Roman"/>
          <w:sz w:val="20"/>
          <w:szCs w:val="20"/>
        </w:rPr>
        <w:t>Performance Features: OSCs with PC61BM as the acceptor exhibited a PCE of 5.3%.</w:t>
      </w:r>
    </w:p>
    <w:p w14:paraId="095E9EE5">
      <w:pPr>
        <w:ind w:firstLine="400" w:firstLineChars="200"/>
        <w:rPr>
          <w:rFonts w:ascii="Times New Roman" w:hAnsi="Times New Roman" w:cs="Times New Roman"/>
          <w:sz w:val="20"/>
          <w:szCs w:val="20"/>
        </w:rPr>
      </w:pPr>
      <w:r>
        <w:rPr>
          <w:rFonts w:hint="eastAsia" w:ascii="Times New Roman" w:hAnsi="Times New Roman" w:cs="Times New Roman"/>
          <w:sz w:val="20"/>
          <w:szCs w:val="20"/>
        </w:rPr>
        <w:t>PDPPSDTPS</w:t>
      </w:r>
    </w:p>
    <w:p w14:paraId="0E026068">
      <w:pPr>
        <w:ind w:firstLine="400" w:firstLineChars="200"/>
        <w:rPr>
          <w:rFonts w:ascii="Times New Roman" w:hAnsi="Times New Roman" w:cs="Times New Roman"/>
          <w:sz w:val="20"/>
          <w:szCs w:val="20"/>
        </w:rPr>
      </w:pPr>
      <w:r>
        <w:rPr>
          <w:rFonts w:hint="eastAsia" w:ascii="Times New Roman" w:hAnsi="Times New Roman" w:cs="Times New Roman"/>
          <w:sz w:val="20"/>
          <w:szCs w:val="20"/>
        </w:rPr>
        <w:t>Bandgap (Eg): 1.13 eV (due to thiophene-to-selenophene substitution).</w:t>
      </w:r>
    </w:p>
    <w:p w14:paraId="0760E11E">
      <w:pPr>
        <w:ind w:firstLine="400" w:firstLineChars="200"/>
        <w:rPr>
          <w:rFonts w:ascii="Times New Roman" w:hAnsi="Times New Roman" w:cs="Times New Roman"/>
          <w:sz w:val="20"/>
          <w:szCs w:val="20"/>
        </w:rPr>
      </w:pPr>
      <w:r>
        <w:rPr>
          <w:rFonts w:hint="eastAsia" w:ascii="Times New Roman" w:hAnsi="Times New Roman" w:cs="Times New Roman"/>
          <w:sz w:val="20"/>
          <w:szCs w:val="20"/>
        </w:rPr>
        <w:t>Performance Features: Featured deeper LUMO and upshifted HOMO levels, resulting in a smaller Eg with a PCE of 3.5%.</w:t>
      </w:r>
    </w:p>
    <w:p w14:paraId="2AA8FD2A">
      <w:pPr>
        <w:ind w:firstLine="400" w:firstLineChars="200"/>
        <w:rPr>
          <w:rFonts w:ascii="Times New Roman" w:hAnsi="Times New Roman" w:cs="Times New Roman"/>
          <w:sz w:val="20"/>
          <w:szCs w:val="20"/>
        </w:rPr>
      </w:pPr>
      <w:r>
        <w:rPr>
          <w:rFonts w:hint="eastAsia" w:ascii="Times New Roman" w:hAnsi="Times New Roman" w:cs="Times New Roman"/>
          <w:sz w:val="20"/>
          <w:szCs w:val="20"/>
        </w:rPr>
        <w:t>P1 (Derived from DPP Unit)</w:t>
      </w:r>
    </w:p>
    <w:p w14:paraId="3004EFC1">
      <w:pPr>
        <w:ind w:firstLine="400" w:firstLineChars="200"/>
        <w:rPr>
          <w:rFonts w:ascii="Times New Roman" w:hAnsi="Times New Roman" w:cs="Times New Roman"/>
          <w:sz w:val="20"/>
          <w:szCs w:val="20"/>
        </w:rPr>
      </w:pPr>
      <w:r>
        <w:rPr>
          <w:rFonts w:hint="eastAsia" w:ascii="Times New Roman" w:hAnsi="Times New Roman" w:cs="Times New Roman"/>
          <w:sz w:val="20"/>
          <w:szCs w:val="20"/>
        </w:rPr>
        <w:t>Bandgap (Eg): 0.82 eV.</w:t>
      </w:r>
    </w:p>
    <w:p w14:paraId="51768DC9">
      <w:pPr>
        <w:ind w:firstLine="400" w:firstLineChars="200"/>
        <w:rPr>
          <w:rFonts w:ascii="Times New Roman" w:hAnsi="Times New Roman" w:cs="Times New Roman"/>
          <w:sz w:val="20"/>
          <w:szCs w:val="20"/>
        </w:rPr>
      </w:pPr>
      <w:r>
        <w:rPr>
          <w:rFonts w:hint="eastAsia" w:ascii="Times New Roman" w:hAnsi="Times New Roman" w:cs="Times New Roman"/>
          <w:sz w:val="20"/>
          <w:szCs w:val="20"/>
        </w:rPr>
        <w:t>Performance Features: Exhibited a broad spectral response from 300 to 1700 nm, with an external quantum efficiency (EQE) of 7.8% at 1200 nm.</w:t>
      </w:r>
    </w:p>
    <w:p w14:paraId="4C2A27F8">
      <w:pPr>
        <w:rPr>
          <w:rFonts w:ascii="Times New Roman" w:hAnsi="Times New Roman" w:cs="Times New Roman"/>
          <w:sz w:val="20"/>
          <w:szCs w:val="20"/>
        </w:rPr>
      </w:pPr>
      <w:r>
        <w:rPr>
          <w:rFonts w:hint="eastAsia" w:ascii="Times New Roman" w:hAnsi="Times New Roman" w:cs="Times New Roman"/>
          <w:sz w:val="20"/>
          <w:szCs w:val="20"/>
        </w:rPr>
        <w:t>2. Small Molecule Materials</w:t>
      </w:r>
    </w:p>
    <w:p w14:paraId="084C27AB">
      <w:pPr>
        <w:ind w:firstLine="400" w:firstLineChars="200"/>
        <w:rPr>
          <w:rFonts w:ascii="Times New Roman" w:hAnsi="Times New Roman" w:cs="Times New Roman"/>
          <w:sz w:val="20"/>
          <w:szCs w:val="20"/>
        </w:rPr>
      </w:pPr>
      <w:r>
        <w:rPr>
          <w:rFonts w:hint="eastAsia" w:ascii="Times New Roman" w:hAnsi="Times New Roman" w:cs="Times New Roman"/>
          <w:sz w:val="20"/>
          <w:szCs w:val="20"/>
        </w:rPr>
        <w:t>ITIC (Non-Fullerene Acceptor)</w:t>
      </w:r>
    </w:p>
    <w:p w14:paraId="6C9A850A">
      <w:pPr>
        <w:ind w:firstLine="400" w:firstLineChars="200"/>
        <w:rPr>
          <w:rFonts w:ascii="Times New Roman" w:hAnsi="Times New Roman" w:cs="Times New Roman"/>
          <w:sz w:val="20"/>
          <w:szCs w:val="20"/>
        </w:rPr>
      </w:pPr>
      <w:r>
        <w:rPr>
          <w:rFonts w:hint="eastAsia" w:ascii="Times New Roman" w:hAnsi="Times New Roman" w:cs="Times New Roman"/>
          <w:sz w:val="20"/>
          <w:szCs w:val="20"/>
        </w:rPr>
        <w:t>Bandgap (Eg): 1.44 eV.</w:t>
      </w:r>
    </w:p>
    <w:p w14:paraId="27677A9A">
      <w:pPr>
        <w:ind w:firstLine="400" w:firstLineChars="200"/>
        <w:rPr>
          <w:rFonts w:ascii="Times New Roman" w:hAnsi="Times New Roman" w:cs="Times New Roman"/>
          <w:sz w:val="20"/>
          <w:szCs w:val="20"/>
        </w:rPr>
      </w:pPr>
      <w:r>
        <w:rPr>
          <w:rFonts w:hint="eastAsia" w:ascii="Times New Roman" w:hAnsi="Times New Roman" w:cs="Times New Roman"/>
          <w:sz w:val="20"/>
          <w:szCs w:val="20"/>
        </w:rPr>
        <w:t>Performance Features: Paired with PTB7-Th, ITIC achieved a PCE of 12.1%.</w:t>
      </w:r>
    </w:p>
    <w:p w14:paraId="47D72E1A">
      <w:pPr>
        <w:ind w:firstLine="400" w:firstLineChars="200"/>
        <w:rPr>
          <w:rFonts w:ascii="Times New Roman" w:hAnsi="Times New Roman" w:cs="Times New Roman"/>
          <w:sz w:val="20"/>
          <w:szCs w:val="20"/>
        </w:rPr>
      </w:pPr>
      <w:r>
        <w:rPr>
          <w:rFonts w:hint="eastAsia" w:ascii="Times New Roman" w:hAnsi="Times New Roman" w:cs="Times New Roman"/>
          <w:sz w:val="20"/>
          <w:szCs w:val="20"/>
        </w:rPr>
        <w:t>DTS(FBTTh2)2 (Small Donor Molecule)</w:t>
      </w:r>
    </w:p>
    <w:p w14:paraId="25107237">
      <w:pPr>
        <w:ind w:firstLine="400" w:firstLineChars="200"/>
        <w:rPr>
          <w:rFonts w:ascii="Times New Roman" w:hAnsi="Times New Roman" w:cs="Times New Roman"/>
          <w:sz w:val="20"/>
          <w:szCs w:val="20"/>
        </w:rPr>
      </w:pPr>
      <w:r>
        <w:rPr>
          <w:rFonts w:hint="eastAsia" w:ascii="Times New Roman" w:hAnsi="Times New Roman" w:cs="Times New Roman"/>
          <w:sz w:val="20"/>
          <w:szCs w:val="20"/>
        </w:rPr>
        <w:t>Bandgap (Eg): 1.45 eV.</w:t>
      </w:r>
    </w:p>
    <w:p w14:paraId="5B8792AC">
      <w:pPr>
        <w:ind w:firstLine="400" w:firstLineChars="200"/>
        <w:rPr>
          <w:rFonts w:ascii="Times New Roman" w:hAnsi="Times New Roman" w:cs="Times New Roman"/>
          <w:sz w:val="20"/>
          <w:szCs w:val="20"/>
        </w:rPr>
      </w:pPr>
      <w:r>
        <w:rPr>
          <w:rFonts w:hint="eastAsia" w:ascii="Times New Roman" w:hAnsi="Times New Roman" w:cs="Times New Roman"/>
          <w:sz w:val="20"/>
          <w:szCs w:val="20"/>
        </w:rPr>
        <w:t>Performance Features: Achieved a PCE of 11.5%.</w:t>
      </w:r>
    </w:p>
    <w:p w14:paraId="7B12B5B6">
      <w:pPr>
        <w:ind w:firstLine="400" w:firstLineChars="200"/>
        <w:rPr>
          <w:rFonts w:ascii="Times New Roman" w:hAnsi="Times New Roman" w:cs="Times New Roman"/>
          <w:sz w:val="20"/>
          <w:szCs w:val="20"/>
        </w:rPr>
      </w:pPr>
      <w:r>
        <w:rPr>
          <w:rFonts w:hint="eastAsia" w:ascii="Times New Roman" w:hAnsi="Times New Roman" w:cs="Times New Roman"/>
          <w:sz w:val="20"/>
          <w:szCs w:val="20"/>
        </w:rPr>
        <w:t>Y6 (Non-Fullerene Acceptor)</w:t>
      </w:r>
    </w:p>
    <w:p w14:paraId="17D2072C">
      <w:pPr>
        <w:ind w:firstLine="400" w:firstLineChars="200"/>
        <w:rPr>
          <w:rFonts w:ascii="Times New Roman" w:hAnsi="Times New Roman" w:cs="Times New Roman"/>
          <w:sz w:val="20"/>
          <w:szCs w:val="20"/>
        </w:rPr>
      </w:pPr>
      <w:r>
        <w:rPr>
          <w:rFonts w:hint="eastAsia" w:ascii="Times New Roman" w:hAnsi="Times New Roman" w:cs="Times New Roman"/>
          <w:sz w:val="20"/>
          <w:szCs w:val="20"/>
        </w:rPr>
        <w:t>Bandgap (Eg): 1.50 eV.</w:t>
      </w:r>
    </w:p>
    <w:p w14:paraId="4CC7E258">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Performance Features: Demonstrated a high PCE of 16.7%.</w:t>
      </w:r>
    </w:p>
    <w:p w14:paraId="2B4339B0">
      <w:pPr>
        <w:rPr>
          <w:rFonts w:ascii="Times New Roman" w:hAnsi="Times New Roman" w:cs="Times New Roman"/>
          <w:sz w:val="20"/>
          <w:szCs w:val="20"/>
        </w:rPr>
      </w:pPr>
      <w:r>
        <w:rPr>
          <w:rFonts w:hint="eastAsia" w:ascii="Times New Roman" w:hAnsi="Times New Roman" w:cs="Times New Roman"/>
          <w:sz w:val="20"/>
          <w:szCs w:val="20"/>
        </w:rPr>
        <w:t>Conclusion:</w:t>
      </w:r>
    </w:p>
    <w:p w14:paraId="6DC825AE">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These materials highlight the importance of molecular engineering in achieving efficient light absorption and charge transport in the NIR II region, enabling advanced applications such as tandem OSCs, semitransparent OSCs, and organic photodetectors.</w:t>
      </w:r>
    </w:p>
    <w:p w14:paraId="7AA30C3F">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468D5F49">
      <w:pPr>
        <w:ind w:firstLine="400" w:firstLineChars="200"/>
        <w:rPr>
          <w:rFonts w:ascii="Times New Roman" w:hAnsi="Times New Roman" w:cs="Times New Roman"/>
          <w:sz w:val="20"/>
          <w:szCs w:val="20"/>
        </w:rPr>
      </w:pPr>
      <w:r>
        <w:rPr>
          <w:rFonts w:hint="eastAsia" w:ascii="Times New Roman" w:hAnsi="Times New Roman" w:cs="Times New Roman"/>
          <w:sz w:val="20"/>
          <w:szCs w:val="20"/>
        </w:rPr>
        <w:t>Representative organic solar cell small and polymer materials with near-infrared region II response include:</w:t>
      </w:r>
    </w:p>
    <w:p w14:paraId="2E71D1AB">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PCE10 (Polymer)</w:t>
      </w:r>
    </w:p>
    <w:p w14:paraId="01A78383">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PTB7-Th (Polymer)</w:t>
      </w:r>
    </w:p>
    <w:p w14:paraId="0C24812E">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PBDB-T (Polymer)</w:t>
      </w:r>
    </w:p>
    <w:p w14:paraId="7525E3E0">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ITIC (Small molecule)</w:t>
      </w:r>
    </w:p>
    <w:p w14:paraId="3C293CF2">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Y6 (Small molecule)</w:t>
      </w:r>
    </w:p>
    <w:p w14:paraId="5EAC8E3A">
      <w:pPr>
        <w:ind w:firstLine="400" w:firstLineChars="200"/>
        <w:rPr>
          <w:rFonts w:ascii="Times New Roman" w:hAnsi="Times New Roman" w:cs="Times New Roman"/>
          <w:sz w:val="20"/>
          <w:szCs w:val="20"/>
        </w:rPr>
      </w:pPr>
      <w:r>
        <w:rPr>
          <w:rFonts w:hint="eastAsia" w:ascii="Times New Roman" w:hAnsi="Times New Roman" w:cs="Times New Roman"/>
          <w:sz w:val="20"/>
          <w:szCs w:val="20"/>
        </w:rPr>
        <w:t>6. IT-4F (Small molecule)</w:t>
      </w:r>
    </w:p>
    <w:p w14:paraId="1C4AF233">
      <w:pPr>
        <w:ind w:firstLine="400" w:firstLineChars="200"/>
        <w:rPr>
          <w:rFonts w:ascii="Times New Roman" w:hAnsi="Times New Roman" w:cs="Times New Roman"/>
          <w:sz w:val="20"/>
          <w:szCs w:val="20"/>
        </w:rPr>
      </w:pPr>
      <w:r>
        <w:rPr>
          <w:rFonts w:hint="eastAsia" w:ascii="Times New Roman" w:hAnsi="Times New Roman" w:cs="Times New Roman"/>
          <w:sz w:val="20"/>
          <w:szCs w:val="20"/>
        </w:rPr>
        <w:t>7. IEICO-4F (Small molecule)</w:t>
      </w:r>
    </w:p>
    <w:p w14:paraId="73074307">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These materials are known for their efficiency in absorbing light in the near-infrared region, making them suitable for organic solar cell applications.</w:t>
      </w:r>
    </w:p>
    <w:p w14:paraId="0479F5A0">
      <w:pPr>
        <w:pStyle w:val="31"/>
        <w:numPr>
          <w:ilvl w:val="0"/>
          <w:numId w:val="1"/>
        </w:numPr>
        <w:ind w:left="363" w:hanging="363"/>
        <w:outlineLvl w:val="0"/>
        <w:rPr>
          <w:rFonts w:ascii="Times New Roman" w:hAnsi="Times New Roman" w:cs="Times New Roman"/>
          <w:b/>
          <w:bCs/>
          <w:color w:val="2E75B6" w:themeColor="accent5" w:themeShade="BF"/>
          <w:szCs w:val="21"/>
        </w:rPr>
      </w:pPr>
      <w:r>
        <w:rPr>
          <w:rFonts w:ascii="Times New Roman" w:hAnsi="Times New Roman" w:cs="Times New Roman"/>
          <w:b/>
          <w:bCs/>
          <w:color w:val="2E75B6" w:themeColor="accent5" w:themeShade="BF"/>
          <w:szCs w:val="21"/>
        </w:rPr>
        <w:t>The advantage of machine learning for the development of materials. What’s the DeepAcceptor.</w:t>
      </w:r>
    </w:p>
    <w:p w14:paraId="03E832CB">
      <w:pPr>
        <w:outlineLvl w:val="1"/>
        <w:rPr>
          <w:rFonts w:ascii="Times New Roman" w:hAnsi="Times New Roman" w:cs="Times New Roman"/>
          <w:b/>
          <w:bCs/>
          <w:szCs w:val="21"/>
        </w:rPr>
      </w:pPr>
      <w:r>
        <w:rPr>
          <w:rFonts w:hint="eastAsia" w:ascii="Times New Roman" w:hAnsi="Times New Roman" w:cs="Times New Roman"/>
          <w:b/>
          <w:bCs/>
          <w:szCs w:val="21"/>
        </w:rPr>
        <w:t>Response</w:t>
      </w:r>
      <w:r>
        <w:rPr>
          <w:rFonts w:ascii="Times New Roman" w:hAnsi="Times New Roman" w:cs="Times New Roman"/>
          <w:b/>
          <w:bCs/>
          <w:szCs w:val="21"/>
        </w:rPr>
        <w:t xml:space="preserve"> A</w:t>
      </w:r>
      <w:r>
        <w:rPr>
          <w:rFonts w:hint="eastAsia" w:ascii="Times New Roman" w:hAnsi="Times New Roman" w:cs="Times New Roman"/>
          <w:b/>
          <w:bCs/>
          <w:szCs w:val="21"/>
        </w:rPr>
        <w:t>:</w:t>
      </w:r>
    </w:p>
    <w:p w14:paraId="7861CE9C">
      <w:pPr>
        <w:ind w:firstLine="400" w:firstLineChars="200"/>
        <w:rPr>
          <w:rFonts w:ascii="Times New Roman" w:hAnsi="Times New Roman" w:cs="Times New Roman"/>
          <w:sz w:val="20"/>
          <w:szCs w:val="20"/>
        </w:rPr>
      </w:pPr>
      <w:r>
        <w:rPr>
          <w:rFonts w:ascii="Times New Roman" w:hAnsi="Times New Roman" w:cs="Times New Roman"/>
          <w:sz w:val="20"/>
          <w:szCs w:val="20"/>
        </w:rPr>
        <w:t>Machine learning (ML) has become a powerful tool in the development of materials, offering significant advantages over traditional trial-and-error and computational approaches. Below are some of the key advantages of applying ML in materials science:</w:t>
      </w:r>
    </w:p>
    <w:p w14:paraId="69F6778F">
      <w:pPr>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Accelerated Discovery of New Materials</w:t>
      </w:r>
    </w:p>
    <w:p w14:paraId="2F55A615">
      <w:pPr>
        <w:ind w:firstLine="400" w:firstLineChars="200"/>
        <w:rPr>
          <w:rFonts w:ascii="Times New Roman" w:hAnsi="Times New Roman" w:cs="Times New Roman"/>
          <w:sz w:val="20"/>
          <w:szCs w:val="20"/>
        </w:rPr>
      </w:pPr>
      <w:r>
        <w:rPr>
          <w:rFonts w:ascii="Times New Roman" w:hAnsi="Times New Roman" w:cs="Times New Roman"/>
          <w:sz w:val="20"/>
          <w:szCs w:val="20"/>
        </w:rPr>
        <w:t>Rapid Screening: ML can analyze large datasets and predict promising candidates for new materials, drastically reducing the time needed for discovery.</w:t>
      </w:r>
    </w:p>
    <w:p w14:paraId="60AC6B36">
      <w:pPr>
        <w:ind w:firstLine="400" w:firstLineChars="200"/>
        <w:rPr>
          <w:rFonts w:ascii="Times New Roman" w:hAnsi="Times New Roman" w:cs="Times New Roman"/>
          <w:sz w:val="20"/>
          <w:szCs w:val="20"/>
        </w:rPr>
      </w:pPr>
      <w:r>
        <w:rPr>
          <w:rFonts w:ascii="Times New Roman" w:hAnsi="Times New Roman" w:cs="Times New Roman"/>
          <w:sz w:val="20"/>
          <w:szCs w:val="20"/>
        </w:rPr>
        <w:t>High-Throughput Predictions: ML models can predict material properties (e.g., bandgap, stability, conductivity) without the need for time-consuming experiments or simulations.</w:t>
      </w:r>
    </w:p>
    <w:p w14:paraId="5F037AF2">
      <w:pPr>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Cost Reduction</w:t>
      </w:r>
    </w:p>
    <w:p w14:paraId="239076B9">
      <w:pPr>
        <w:ind w:firstLine="400" w:firstLineChars="200"/>
        <w:rPr>
          <w:rFonts w:ascii="Times New Roman" w:hAnsi="Times New Roman" w:cs="Times New Roman"/>
          <w:sz w:val="20"/>
          <w:szCs w:val="20"/>
        </w:rPr>
      </w:pPr>
      <w:r>
        <w:rPr>
          <w:rFonts w:ascii="Times New Roman" w:hAnsi="Times New Roman" w:cs="Times New Roman"/>
          <w:sz w:val="20"/>
          <w:szCs w:val="20"/>
        </w:rPr>
        <w:t>Reduced Experimental Costs: By predicting the most promising candidates, ML minimizes the number of experiments required, saving resources.</w:t>
      </w:r>
    </w:p>
    <w:p w14:paraId="65E5AE40">
      <w:pPr>
        <w:ind w:firstLine="400" w:firstLineChars="200"/>
        <w:rPr>
          <w:rFonts w:ascii="Times New Roman" w:hAnsi="Times New Roman" w:cs="Times New Roman"/>
          <w:sz w:val="20"/>
          <w:szCs w:val="20"/>
        </w:rPr>
      </w:pPr>
      <w:r>
        <w:rPr>
          <w:rFonts w:ascii="Times New Roman" w:hAnsi="Times New Roman" w:cs="Times New Roman"/>
          <w:sz w:val="20"/>
          <w:szCs w:val="20"/>
        </w:rPr>
        <w:t>Lower Computational Costs: ML can replace computationally expensive quantum mechanical simulations (e.g., DFT) with surrogate models that are orders of magnitude faster.</w:t>
      </w:r>
    </w:p>
    <w:p w14:paraId="7C0648C2">
      <w:pPr>
        <w:rPr>
          <w:rFonts w:ascii="Times New Roman" w:hAnsi="Times New Roman" w:cs="Times New Roman"/>
          <w:sz w:val="20"/>
          <w:szCs w:val="20"/>
        </w:rPr>
      </w:pPr>
      <w:r>
        <w:rPr>
          <w:rFonts w:hint="eastAsia" w:ascii="Times New Roman" w:hAnsi="Times New Roman" w:cs="Times New Roman"/>
          <w:sz w:val="20"/>
          <w:szCs w:val="20"/>
        </w:rPr>
        <w:t>3.</w:t>
      </w:r>
      <w:r>
        <w:rPr>
          <w:rFonts w:ascii="Times New Roman" w:hAnsi="Times New Roman" w:cs="Times New Roman"/>
          <w:sz w:val="20"/>
          <w:szCs w:val="20"/>
        </w:rPr>
        <w:t xml:space="preserve"> Optimization of Material Properties</w:t>
      </w:r>
    </w:p>
    <w:p w14:paraId="182230DE">
      <w:pPr>
        <w:ind w:firstLine="400" w:firstLineChars="200"/>
        <w:rPr>
          <w:rFonts w:ascii="Times New Roman" w:hAnsi="Times New Roman" w:cs="Times New Roman"/>
          <w:sz w:val="20"/>
          <w:szCs w:val="20"/>
        </w:rPr>
      </w:pPr>
      <w:r>
        <w:rPr>
          <w:rFonts w:ascii="Times New Roman" w:hAnsi="Times New Roman" w:cs="Times New Roman"/>
          <w:sz w:val="20"/>
          <w:szCs w:val="20"/>
        </w:rPr>
        <w:t>Multi-Objective Optimization: ML can optimize multiple properties simultaneously (e.g., efficiency, stability, and cost), enabling the design of materials with balanced performance.</w:t>
      </w:r>
    </w:p>
    <w:p w14:paraId="72B967D2">
      <w:pPr>
        <w:ind w:firstLine="400" w:firstLineChars="200"/>
        <w:rPr>
          <w:rFonts w:ascii="Times New Roman" w:hAnsi="Times New Roman" w:cs="Times New Roman"/>
          <w:sz w:val="20"/>
          <w:szCs w:val="20"/>
        </w:rPr>
      </w:pPr>
      <w:r>
        <w:rPr>
          <w:rFonts w:ascii="Times New Roman" w:hAnsi="Times New Roman" w:cs="Times New Roman"/>
          <w:sz w:val="20"/>
          <w:szCs w:val="20"/>
        </w:rPr>
        <w:t>Inverse Design: ML can work backward from desired properties to suggest molecular structures or compositions, streamlining the design process.</w:t>
      </w:r>
    </w:p>
    <w:p w14:paraId="38A0A721">
      <w:pPr>
        <w:rPr>
          <w:rFonts w:ascii="Times New Roman" w:hAnsi="Times New Roman" w:cs="Times New Roman"/>
          <w:sz w:val="20"/>
          <w:szCs w:val="20"/>
        </w:rPr>
      </w:pPr>
      <w:r>
        <w:rPr>
          <w:rFonts w:hint="eastAsia" w:ascii="Times New Roman" w:hAnsi="Times New Roman" w:cs="Times New Roman"/>
          <w:sz w:val="20"/>
          <w:szCs w:val="20"/>
        </w:rPr>
        <w:t>4.</w:t>
      </w:r>
      <w:r>
        <w:rPr>
          <w:rFonts w:ascii="Times New Roman" w:hAnsi="Times New Roman" w:cs="Times New Roman"/>
          <w:sz w:val="20"/>
          <w:szCs w:val="20"/>
        </w:rPr>
        <w:t xml:space="preserve"> Pattern Recognition in Complex Datasets</w:t>
      </w:r>
    </w:p>
    <w:p w14:paraId="06386F6A">
      <w:pPr>
        <w:ind w:firstLine="400" w:firstLineChars="200"/>
        <w:rPr>
          <w:rFonts w:ascii="Times New Roman" w:hAnsi="Times New Roman" w:cs="Times New Roman"/>
          <w:sz w:val="20"/>
          <w:szCs w:val="20"/>
        </w:rPr>
      </w:pPr>
      <w:r>
        <w:rPr>
          <w:rFonts w:ascii="Times New Roman" w:hAnsi="Times New Roman" w:cs="Times New Roman"/>
          <w:sz w:val="20"/>
          <w:szCs w:val="20"/>
        </w:rPr>
        <w:t>Insight from Big Data: ML excels at finding patterns and relationships in large, complex datasets, uncovering hidden correlations that may not be obvious to human researchers.</w:t>
      </w:r>
    </w:p>
    <w:p w14:paraId="3E16E17E">
      <w:pPr>
        <w:ind w:firstLine="400" w:firstLineChars="200"/>
        <w:rPr>
          <w:rFonts w:ascii="Times New Roman" w:hAnsi="Times New Roman" w:cs="Times New Roman"/>
          <w:sz w:val="20"/>
          <w:szCs w:val="20"/>
        </w:rPr>
      </w:pPr>
      <w:r>
        <w:rPr>
          <w:rFonts w:ascii="Times New Roman" w:hAnsi="Times New Roman" w:cs="Times New Roman"/>
          <w:sz w:val="20"/>
          <w:szCs w:val="20"/>
        </w:rPr>
        <w:t>Feature Importance: ML can identify the most important factors influencing material properties, guiding experimental and theoretical efforts.</w:t>
      </w:r>
    </w:p>
    <w:p w14:paraId="2F71C789">
      <w:pPr>
        <w:rPr>
          <w:rFonts w:ascii="Times New Roman" w:hAnsi="Times New Roman" w:cs="Times New Roman"/>
          <w:sz w:val="20"/>
          <w:szCs w:val="20"/>
        </w:rPr>
      </w:pPr>
      <w:r>
        <w:rPr>
          <w:rFonts w:hint="eastAsia" w:ascii="Times New Roman" w:hAnsi="Times New Roman" w:cs="Times New Roman"/>
          <w:sz w:val="20"/>
          <w:szCs w:val="20"/>
        </w:rPr>
        <w:t xml:space="preserve">5. </w:t>
      </w:r>
      <w:r>
        <w:rPr>
          <w:rFonts w:ascii="Times New Roman" w:hAnsi="Times New Roman" w:cs="Times New Roman"/>
          <w:sz w:val="20"/>
          <w:szCs w:val="20"/>
        </w:rPr>
        <w:t>Accelerated Simulation</w:t>
      </w:r>
    </w:p>
    <w:p w14:paraId="3B0093A9">
      <w:pPr>
        <w:ind w:firstLine="400" w:firstLineChars="200"/>
        <w:rPr>
          <w:rFonts w:ascii="Times New Roman" w:hAnsi="Times New Roman" w:cs="Times New Roman"/>
          <w:sz w:val="20"/>
          <w:szCs w:val="20"/>
        </w:rPr>
      </w:pPr>
      <w:r>
        <w:rPr>
          <w:rFonts w:ascii="Times New Roman" w:hAnsi="Times New Roman" w:cs="Times New Roman"/>
          <w:sz w:val="20"/>
          <w:szCs w:val="20"/>
        </w:rPr>
        <w:t>Surrogate Models: ML can create models that approximate the results of complex simulations (e.g., molecular dynamics, DFT) with much higher speed.</w:t>
      </w:r>
    </w:p>
    <w:p w14:paraId="39F34327">
      <w:pPr>
        <w:ind w:firstLine="400" w:firstLineChars="200"/>
        <w:rPr>
          <w:rFonts w:ascii="Times New Roman" w:hAnsi="Times New Roman" w:cs="Times New Roman"/>
          <w:sz w:val="20"/>
          <w:szCs w:val="20"/>
        </w:rPr>
      </w:pPr>
      <w:r>
        <w:rPr>
          <w:rFonts w:ascii="Times New Roman" w:hAnsi="Times New Roman" w:cs="Times New Roman"/>
          <w:sz w:val="20"/>
          <w:szCs w:val="20"/>
        </w:rPr>
        <w:t>Real-Time Predictions: Enables real-time property predictions during experiments or simulations.</w:t>
      </w:r>
    </w:p>
    <w:p w14:paraId="77D894F9">
      <w:pPr>
        <w:rPr>
          <w:rFonts w:ascii="Times New Roman" w:hAnsi="Times New Roman" w:cs="Times New Roman"/>
          <w:sz w:val="20"/>
          <w:szCs w:val="20"/>
        </w:rPr>
      </w:pPr>
      <w:r>
        <w:rPr>
          <w:rFonts w:hint="eastAsia" w:ascii="Times New Roman" w:hAnsi="Times New Roman" w:cs="Times New Roman"/>
          <w:sz w:val="20"/>
          <w:szCs w:val="20"/>
        </w:rPr>
        <w:t xml:space="preserve">6. </w:t>
      </w:r>
      <w:r>
        <w:rPr>
          <w:rFonts w:ascii="Times New Roman" w:hAnsi="Times New Roman" w:cs="Times New Roman"/>
          <w:sz w:val="20"/>
          <w:szCs w:val="20"/>
        </w:rPr>
        <w:t>Improved Experimental Design</w:t>
      </w:r>
    </w:p>
    <w:p w14:paraId="4AD7F99C">
      <w:pPr>
        <w:ind w:firstLine="400" w:firstLineChars="200"/>
        <w:rPr>
          <w:rFonts w:ascii="Times New Roman" w:hAnsi="Times New Roman" w:cs="Times New Roman"/>
          <w:sz w:val="20"/>
          <w:szCs w:val="20"/>
        </w:rPr>
      </w:pPr>
      <w:r>
        <w:rPr>
          <w:rFonts w:ascii="Times New Roman" w:hAnsi="Times New Roman" w:cs="Times New Roman"/>
          <w:sz w:val="20"/>
          <w:szCs w:val="20"/>
        </w:rPr>
        <w:t>Active Learning: ML can suggest the most informative experiments to perform next, maximizing the value of experimental data.</w:t>
      </w:r>
    </w:p>
    <w:p w14:paraId="040D0A8A">
      <w:pPr>
        <w:ind w:firstLine="400" w:firstLineChars="200"/>
        <w:rPr>
          <w:rFonts w:ascii="Times New Roman" w:hAnsi="Times New Roman" w:cs="Times New Roman"/>
          <w:sz w:val="20"/>
          <w:szCs w:val="20"/>
        </w:rPr>
      </w:pPr>
      <w:r>
        <w:rPr>
          <w:rFonts w:ascii="Times New Roman" w:hAnsi="Times New Roman" w:cs="Times New Roman"/>
          <w:sz w:val="20"/>
          <w:szCs w:val="20"/>
        </w:rPr>
        <w:t>Automated Workflow: Integration of ML with robotic systems enables autonomous experimentation, where machines design, conduct, and analyze experiments.</w:t>
      </w:r>
    </w:p>
    <w:p w14:paraId="3F7E86FA">
      <w:pPr>
        <w:rPr>
          <w:rFonts w:ascii="Times New Roman" w:hAnsi="Times New Roman" w:cs="Times New Roman"/>
          <w:sz w:val="20"/>
          <w:szCs w:val="20"/>
        </w:rPr>
      </w:pPr>
      <w:r>
        <w:rPr>
          <w:rFonts w:hint="eastAsia" w:ascii="Times New Roman" w:hAnsi="Times New Roman" w:cs="Times New Roman"/>
          <w:sz w:val="20"/>
          <w:szCs w:val="20"/>
        </w:rPr>
        <w:t>7.</w:t>
      </w:r>
      <w:r>
        <w:rPr>
          <w:rFonts w:ascii="Times New Roman" w:hAnsi="Times New Roman" w:cs="Times New Roman"/>
          <w:sz w:val="20"/>
          <w:szCs w:val="20"/>
        </w:rPr>
        <w:t xml:space="preserve"> Enhanced Materials Database Utilization</w:t>
      </w:r>
    </w:p>
    <w:p w14:paraId="740CEACD">
      <w:pPr>
        <w:ind w:firstLine="400" w:firstLineChars="200"/>
        <w:rPr>
          <w:rFonts w:ascii="Times New Roman" w:hAnsi="Times New Roman" w:cs="Times New Roman"/>
          <w:sz w:val="20"/>
          <w:szCs w:val="20"/>
        </w:rPr>
      </w:pPr>
      <w:r>
        <w:rPr>
          <w:rFonts w:ascii="Times New Roman" w:hAnsi="Times New Roman" w:cs="Times New Roman"/>
          <w:sz w:val="20"/>
          <w:szCs w:val="20"/>
        </w:rPr>
        <w:t>Data Mining: ML can extract useful insights from existing materials databases, even if the data is incomplete or noisy.</w:t>
      </w:r>
    </w:p>
    <w:p w14:paraId="2E98AD57">
      <w:pPr>
        <w:ind w:firstLine="400" w:firstLineChars="200"/>
        <w:rPr>
          <w:rFonts w:ascii="Times New Roman" w:hAnsi="Times New Roman" w:cs="Times New Roman"/>
          <w:sz w:val="20"/>
          <w:szCs w:val="20"/>
        </w:rPr>
      </w:pPr>
      <w:r>
        <w:rPr>
          <w:rFonts w:ascii="Times New Roman" w:hAnsi="Times New Roman" w:cs="Times New Roman"/>
          <w:sz w:val="20"/>
          <w:szCs w:val="20"/>
        </w:rPr>
        <w:t>Data Augmentation: ML can generate synthetic data or fill in missing data to improve dataset quality.</w:t>
      </w:r>
    </w:p>
    <w:p w14:paraId="69B6E175">
      <w:pPr>
        <w:rPr>
          <w:rFonts w:ascii="Times New Roman" w:hAnsi="Times New Roman" w:cs="Times New Roman"/>
          <w:sz w:val="20"/>
          <w:szCs w:val="20"/>
        </w:rPr>
      </w:pPr>
      <w:r>
        <w:rPr>
          <w:rFonts w:hint="eastAsia" w:ascii="Times New Roman" w:hAnsi="Times New Roman" w:cs="Times New Roman"/>
          <w:sz w:val="20"/>
          <w:szCs w:val="20"/>
        </w:rPr>
        <w:t>8.</w:t>
      </w:r>
      <w:r>
        <w:rPr>
          <w:rFonts w:ascii="Times New Roman" w:hAnsi="Times New Roman" w:cs="Times New Roman"/>
          <w:sz w:val="20"/>
          <w:szCs w:val="20"/>
        </w:rPr>
        <w:t xml:space="preserve"> Predicting Long-Term Stability and Performance</w:t>
      </w:r>
    </w:p>
    <w:p w14:paraId="27F42530">
      <w:pPr>
        <w:ind w:firstLine="400" w:firstLineChars="200"/>
        <w:rPr>
          <w:rFonts w:ascii="Times New Roman" w:hAnsi="Times New Roman" w:cs="Times New Roman"/>
          <w:sz w:val="20"/>
          <w:szCs w:val="20"/>
        </w:rPr>
      </w:pPr>
      <w:r>
        <w:rPr>
          <w:rFonts w:ascii="Times New Roman" w:hAnsi="Times New Roman" w:cs="Times New Roman"/>
          <w:sz w:val="20"/>
          <w:szCs w:val="20"/>
        </w:rPr>
        <w:t>Degradation Modeling: ML can predict the long-term stability of materials, such as the degradation of organic solar cells or batteries, based on limited experimental data.</w:t>
      </w:r>
    </w:p>
    <w:p w14:paraId="7E563073">
      <w:pPr>
        <w:ind w:firstLine="400" w:firstLineChars="200"/>
        <w:rPr>
          <w:rFonts w:ascii="Times New Roman" w:hAnsi="Times New Roman" w:cs="Times New Roman"/>
          <w:sz w:val="20"/>
          <w:szCs w:val="20"/>
        </w:rPr>
      </w:pPr>
      <w:r>
        <w:rPr>
          <w:rFonts w:ascii="Times New Roman" w:hAnsi="Times New Roman" w:cs="Times New Roman"/>
          <w:sz w:val="20"/>
          <w:szCs w:val="20"/>
        </w:rPr>
        <w:t>Lifetime Prediction: Helps in understanding how materials will perform over time under real-world conditions.</w:t>
      </w:r>
    </w:p>
    <w:p w14:paraId="5659FC2D">
      <w:pPr>
        <w:rPr>
          <w:rFonts w:ascii="Times New Roman" w:hAnsi="Times New Roman" w:cs="Times New Roman"/>
          <w:sz w:val="20"/>
          <w:szCs w:val="20"/>
        </w:rPr>
      </w:pPr>
      <w:r>
        <w:rPr>
          <w:rFonts w:hint="eastAsia" w:ascii="Times New Roman" w:hAnsi="Times New Roman" w:cs="Times New Roman"/>
          <w:sz w:val="20"/>
          <w:szCs w:val="20"/>
        </w:rPr>
        <w:t>9.</w:t>
      </w:r>
      <w:r>
        <w:rPr>
          <w:rFonts w:ascii="Times New Roman" w:hAnsi="Times New Roman" w:cs="Times New Roman"/>
          <w:sz w:val="20"/>
          <w:szCs w:val="20"/>
        </w:rPr>
        <w:t xml:space="preserve"> Cross-Disciplinary Applications</w:t>
      </w:r>
    </w:p>
    <w:p w14:paraId="552C23E3">
      <w:pPr>
        <w:ind w:firstLine="400" w:firstLineChars="200"/>
        <w:rPr>
          <w:rFonts w:ascii="Times New Roman" w:hAnsi="Times New Roman" w:cs="Times New Roman"/>
          <w:sz w:val="20"/>
          <w:szCs w:val="20"/>
        </w:rPr>
      </w:pPr>
      <w:r>
        <w:rPr>
          <w:rFonts w:ascii="Times New Roman" w:hAnsi="Times New Roman" w:cs="Times New Roman"/>
          <w:sz w:val="20"/>
          <w:szCs w:val="20"/>
        </w:rPr>
        <w:t>Transfer Learning: ML models trained on one type of material (e.g., semiconductors) can be adapted to predict properties of other materials (e.g., catalysts).</w:t>
      </w:r>
    </w:p>
    <w:p w14:paraId="2D2C729A">
      <w:pPr>
        <w:ind w:firstLine="400" w:firstLineChars="200"/>
        <w:rPr>
          <w:rFonts w:ascii="Times New Roman" w:hAnsi="Times New Roman" w:cs="Times New Roman"/>
          <w:sz w:val="20"/>
          <w:szCs w:val="20"/>
        </w:rPr>
      </w:pPr>
      <w:r>
        <w:rPr>
          <w:rFonts w:ascii="Times New Roman" w:hAnsi="Times New Roman" w:cs="Times New Roman"/>
          <w:sz w:val="20"/>
          <w:szCs w:val="20"/>
        </w:rPr>
        <w:t>Interdisciplinary Insights: ML can integrate knowledge from physics, chemistry, and engineering to develop a holistic understanding of materials.</w:t>
      </w:r>
    </w:p>
    <w:p w14:paraId="48D3C0D1">
      <w:pPr>
        <w:rPr>
          <w:rFonts w:ascii="Times New Roman" w:hAnsi="Times New Roman" w:cs="Times New Roman"/>
          <w:sz w:val="20"/>
          <w:szCs w:val="20"/>
        </w:rPr>
      </w:pPr>
      <w:r>
        <w:rPr>
          <w:rFonts w:hint="eastAsia" w:ascii="Times New Roman" w:hAnsi="Times New Roman" w:cs="Times New Roman"/>
          <w:sz w:val="20"/>
          <w:szCs w:val="20"/>
        </w:rPr>
        <w:t>10.</w:t>
      </w:r>
      <w:r>
        <w:rPr>
          <w:rFonts w:ascii="Times New Roman" w:hAnsi="Times New Roman" w:cs="Times New Roman"/>
          <w:sz w:val="20"/>
          <w:szCs w:val="20"/>
        </w:rPr>
        <w:t xml:space="preserve"> Democratization of Materials Research</w:t>
      </w:r>
    </w:p>
    <w:p w14:paraId="7E98DAAD">
      <w:pPr>
        <w:ind w:firstLine="400" w:firstLineChars="200"/>
        <w:rPr>
          <w:rFonts w:ascii="Times New Roman" w:hAnsi="Times New Roman" w:cs="Times New Roman"/>
          <w:sz w:val="20"/>
          <w:szCs w:val="20"/>
        </w:rPr>
      </w:pPr>
      <w:r>
        <w:rPr>
          <w:rFonts w:ascii="Times New Roman" w:hAnsi="Times New Roman" w:cs="Times New Roman"/>
          <w:sz w:val="20"/>
          <w:szCs w:val="20"/>
        </w:rPr>
        <w:t>Accessibility: Open-source ML tools and models make advanced materials research accessible to a broader range of researchers and institutions.</w:t>
      </w:r>
    </w:p>
    <w:p w14:paraId="530192C2">
      <w:pPr>
        <w:ind w:firstLine="400" w:firstLineChars="200"/>
        <w:rPr>
          <w:rFonts w:ascii="Times New Roman" w:hAnsi="Times New Roman" w:cs="Times New Roman"/>
          <w:sz w:val="20"/>
          <w:szCs w:val="20"/>
        </w:rPr>
      </w:pPr>
      <w:r>
        <w:rPr>
          <w:rFonts w:ascii="Times New Roman" w:hAnsi="Times New Roman" w:cs="Times New Roman"/>
          <w:sz w:val="20"/>
          <w:szCs w:val="20"/>
        </w:rPr>
        <w:t>Collaboration: ML facilitates collaboration by enabling researchers to share and build on predictive models and datasets.</w:t>
      </w:r>
    </w:p>
    <w:p w14:paraId="6CCF3331">
      <w:pPr>
        <w:rPr>
          <w:rFonts w:ascii="Times New Roman" w:hAnsi="Times New Roman" w:cs="Times New Roman"/>
          <w:sz w:val="20"/>
          <w:szCs w:val="20"/>
        </w:rPr>
      </w:pPr>
      <w:r>
        <w:rPr>
          <w:rFonts w:hint="eastAsia" w:ascii="Times New Roman" w:hAnsi="Times New Roman" w:cs="Times New Roman"/>
          <w:sz w:val="20"/>
          <w:szCs w:val="20"/>
        </w:rPr>
        <w:t>11.</w:t>
      </w:r>
      <w:r>
        <w:rPr>
          <w:rFonts w:ascii="Times New Roman" w:hAnsi="Times New Roman" w:cs="Times New Roman"/>
          <w:sz w:val="20"/>
          <w:szCs w:val="20"/>
        </w:rPr>
        <w:t xml:space="preserve"> Examples of ML Applications in Materials Science</w:t>
      </w:r>
    </w:p>
    <w:p w14:paraId="63EBD9E8">
      <w:pPr>
        <w:ind w:firstLine="400" w:firstLineChars="200"/>
        <w:rPr>
          <w:rFonts w:ascii="Times New Roman" w:hAnsi="Times New Roman" w:cs="Times New Roman"/>
          <w:sz w:val="20"/>
          <w:szCs w:val="20"/>
        </w:rPr>
      </w:pPr>
      <w:r>
        <w:rPr>
          <w:rFonts w:ascii="Times New Roman" w:hAnsi="Times New Roman" w:cs="Times New Roman"/>
          <w:sz w:val="20"/>
          <w:szCs w:val="20"/>
        </w:rPr>
        <w:t>Organic Solar Cells: Predicting donor-acceptor pairings, optimizing energy levels, and improving device efficiencies.</w:t>
      </w:r>
    </w:p>
    <w:p w14:paraId="6A1383E7">
      <w:pPr>
        <w:ind w:firstLine="400" w:firstLineChars="200"/>
        <w:rPr>
          <w:rFonts w:ascii="Times New Roman" w:hAnsi="Times New Roman" w:cs="Times New Roman"/>
          <w:sz w:val="20"/>
          <w:szCs w:val="20"/>
        </w:rPr>
      </w:pPr>
      <w:r>
        <w:rPr>
          <w:rFonts w:ascii="Times New Roman" w:hAnsi="Times New Roman" w:cs="Times New Roman"/>
          <w:sz w:val="20"/>
          <w:szCs w:val="20"/>
        </w:rPr>
        <w:t>Batteries: Designing new electrode and electrolyte materials for higher energy density and stability.</w:t>
      </w:r>
    </w:p>
    <w:p w14:paraId="09B820F8">
      <w:pPr>
        <w:ind w:firstLine="400" w:firstLineChars="200"/>
        <w:rPr>
          <w:rFonts w:ascii="Times New Roman" w:hAnsi="Times New Roman" w:cs="Times New Roman"/>
          <w:sz w:val="20"/>
          <w:szCs w:val="20"/>
        </w:rPr>
      </w:pPr>
      <w:r>
        <w:rPr>
          <w:rFonts w:ascii="Times New Roman" w:hAnsi="Times New Roman" w:cs="Times New Roman"/>
          <w:sz w:val="20"/>
          <w:szCs w:val="20"/>
        </w:rPr>
        <w:t>Catalysts: Discovering efficient catalysts for chemical reactions, such as CO</w:t>
      </w:r>
      <w:r>
        <w:rPr>
          <w:rFonts w:ascii="Times New Roman" w:hAnsi="Times New Roman" w:cs="Times New Roman"/>
          <w:sz w:val="20"/>
          <w:szCs w:val="20"/>
          <w:vertAlign w:val="subscript"/>
        </w:rPr>
        <w:t>2</w:t>
      </w:r>
      <w:r>
        <w:rPr>
          <w:rFonts w:ascii="Times New Roman" w:hAnsi="Times New Roman" w:cs="Times New Roman"/>
          <w:sz w:val="20"/>
          <w:szCs w:val="20"/>
        </w:rPr>
        <w:t xml:space="preserve"> reduction and hydrogen production.</w:t>
      </w:r>
    </w:p>
    <w:p w14:paraId="1F606EE0">
      <w:pPr>
        <w:ind w:firstLine="400" w:firstLineChars="200"/>
        <w:rPr>
          <w:rFonts w:ascii="Times New Roman" w:hAnsi="Times New Roman" w:cs="Times New Roman"/>
          <w:sz w:val="20"/>
          <w:szCs w:val="20"/>
        </w:rPr>
      </w:pPr>
      <w:r>
        <w:rPr>
          <w:rFonts w:ascii="Times New Roman" w:hAnsi="Times New Roman" w:cs="Times New Roman"/>
          <w:sz w:val="20"/>
          <w:szCs w:val="20"/>
        </w:rPr>
        <w:t>Polymers: Designing polymers with tailored mechanical, optical, or thermal properties.</w:t>
      </w:r>
    </w:p>
    <w:p w14:paraId="0A8598E0">
      <w:pPr>
        <w:rPr>
          <w:rFonts w:ascii="Times New Roman" w:hAnsi="Times New Roman" w:cs="Times New Roman"/>
          <w:sz w:val="20"/>
          <w:szCs w:val="20"/>
        </w:rPr>
      </w:pPr>
      <w:r>
        <w:rPr>
          <w:rFonts w:hint="eastAsia" w:ascii="Times New Roman" w:hAnsi="Times New Roman" w:cs="Times New Roman"/>
          <w:sz w:val="20"/>
          <w:szCs w:val="20"/>
        </w:rPr>
        <w:t xml:space="preserve">12. </w:t>
      </w:r>
      <w:r>
        <w:rPr>
          <w:rFonts w:ascii="Times New Roman" w:hAnsi="Times New Roman" w:cs="Times New Roman"/>
          <w:sz w:val="20"/>
          <w:szCs w:val="20"/>
        </w:rPr>
        <w:t>Challenges and Future Directions</w:t>
      </w:r>
    </w:p>
    <w:p w14:paraId="257865A3">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While ML offers immense potential, challenges such as the need for high-quality datasets, interpretability of models, and integration with experimental workflows remain. Advances in these areas, combined with the growing availability of data and computational power, are expected to further enhance the role of ML in materials science.</w:t>
      </w:r>
    </w:p>
    <w:p w14:paraId="79D79BF5">
      <w:pPr>
        <w:ind w:firstLine="400" w:firstLineChars="200"/>
        <w:rPr>
          <w:rFonts w:ascii="Times New Roman" w:hAnsi="Times New Roman" w:cs="Times New Roman"/>
          <w:sz w:val="20"/>
          <w:szCs w:val="20"/>
        </w:rPr>
      </w:pPr>
      <w:r>
        <w:rPr>
          <w:rFonts w:ascii="Times New Roman" w:hAnsi="Times New Roman" w:cs="Times New Roman"/>
          <w:sz w:val="20"/>
          <w:szCs w:val="20"/>
        </w:rPr>
        <w:t>In summary, ML enables faster, cheaper, and more efficient materials development, transforming the way researchers discover and optimize materials.</w:t>
      </w:r>
    </w:p>
    <w:p w14:paraId="16798E37">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DeepAcceptor is a deep‑learning framework for discovering electron‑acceptor materials-most commonly non‑fullerene acceptor (NFA) molecules for organic photovoltaics. It typically uses graph neural networks trained on DFT and/or experimental data to predict acceptor‑relevant properties (e.g., LUMO/electron affinity, optical gap, stability, reorganization energy) and then ranks or generates new acceptor candidates, often coupled with Bayesian optimization for inverse design. This lets researchers rapidly screen large molecular libraries and propose synthesizable acceptors with higher expected device performance.</w:t>
      </w:r>
    </w:p>
    <w:p w14:paraId="046F1D66">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B:</w:t>
      </w:r>
    </w:p>
    <w:p w14:paraId="189EED14">
      <w:pPr>
        <w:rPr>
          <w:rFonts w:ascii="Times New Roman" w:hAnsi="Times New Roman" w:cs="Times New Roman"/>
          <w:sz w:val="20"/>
          <w:szCs w:val="20"/>
        </w:rPr>
      </w:pPr>
      <w:r>
        <w:rPr>
          <w:rFonts w:ascii="Times New Roman" w:hAnsi="Times New Roman" w:cs="Times New Roman"/>
          <w:sz w:val="20"/>
          <w:szCs w:val="20"/>
        </w:rPr>
        <w:t>The use of machine learning (ML) for materials development offers several key advantages:</w:t>
      </w:r>
    </w:p>
    <w:p w14:paraId="430296B2">
      <w:pPr>
        <w:ind w:firstLine="400" w:firstLineChars="200"/>
        <w:rPr>
          <w:rFonts w:ascii="Times New Roman" w:hAnsi="Times New Roman" w:cs="Times New Roman"/>
          <w:sz w:val="20"/>
          <w:szCs w:val="20"/>
        </w:rPr>
      </w:pPr>
      <w:r>
        <w:rPr>
          <w:rFonts w:ascii="Times New Roman" w:hAnsi="Times New Roman" w:cs="Times New Roman"/>
          <w:sz w:val="20"/>
          <w:szCs w:val="20"/>
        </w:rPr>
        <w:t>Accelerated Discovery:</w:t>
      </w:r>
      <w:r>
        <w:rPr>
          <w:rFonts w:hint="eastAsia" w:ascii="Times New Roman" w:hAnsi="Times New Roman" w:cs="Times New Roman"/>
          <w:sz w:val="20"/>
          <w:szCs w:val="20"/>
        </w:rPr>
        <w:t xml:space="preserve"> </w:t>
      </w:r>
      <w:r>
        <w:rPr>
          <w:rFonts w:ascii="Times New Roman" w:hAnsi="Times New Roman" w:cs="Times New Roman"/>
          <w:sz w:val="20"/>
          <w:szCs w:val="20"/>
        </w:rPr>
        <w:t>ML models can significantly speed up the discovery of new materials by rapidly analyzing vast datasets from experimental and computational sources. Instead of traditional trial-and-error approaches, ML can predict desirable properties, reducing development time.</w:t>
      </w:r>
    </w:p>
    <w:p w14:paraId="1863304F">
      <w:pPr>
        <w:ind w:firstLine="400" w:firstLineChars="200"/>
        <w:rPr>
          <w:rFonts w:ascii="Times New Roman" w:hAnsi="Times New Roman" w:cs="Times New Roman"/>
          <w:sz w:val="20"/>
          <w:szCs w:val="20"/>
        </w:rPr>
      </w:pPr>
      <w:r>
        <w:rPr>
          <w:rFonts w:ascii="Times New Roman" w:hAnsi="Times New Roman" w:cs="Times New Roman"/>
          <w:sz w:val="20"/>
          <w:szCs w:val="20"/>
        </w:rPr>
        <w:t>Data-Driven Insights: ML enables the extraction of hidden patterns and relationships within complex datasets. For example, models can link molecular structures with material properties like conductivity, bandgap, or stability, helping identify promising candidates.</w:t>
      </w:r>
    </w:p>
    <w:p w14:paraId="3BA8BFF3">
      <w:pPr>
        <w:ind w:firstLine="400" w:firstLineChars="200"/>
        <w:rPr>
          <w:rFonts w:ascii="Times New Roman" w:hAnsi="Times New Roman" w:cs="Times New Roman"/>
          <w:sz w:val="20"/>
          <w:szCs w:val="20"/>
        </w:rPr>
      </w:pPr>
      <w:r>
        <w:rPr>
          <w:rFonts w:ascii="Times New Roman" w:hAnsi="Times New Roman" w:cs="Times New Roman"/>
          <w:sz w:val="20"/>
          <w:szCs w:val="20"/>
        </w:rPr>
        <w:t>Optimization of Properties: ML algorithms can optimize material formulations by predicting the ideal compositions or processing parameters. This is particularly useful for improving properties like efficiency, durability, and environmental stability in solar cells, polymers, or other functional materials.</w:t>
      </w:r>
    </w:p>
    <w:p w14:paraId="0D18FC0E">
      <w:pPr>
        <w:ind w:firstLine="400" w:firstLineChars="200"/>
        <w:rPr>
          <w:rFonts w:ascii="Times New Roman" w:hAnsi="Times New Roman" w:cs="Times New Roman"/>
          <w:sz w:val="20"/>
          <w:szCs w:val="20"/>
        </w:rPr>
      </w:pPr>
      <w:r>
        <w:rPr>
          <w:rFonts w:ascii="Times New Roman" w:hAnsi="Times New Roman" w:cs="Times New Roman"/>
          <w:sz w:val="20"/>
          <w:szCs w:val="20"/>
        </w:rPr>
        <w:t>Reduction of Cost: By minimizing the need for expensive and time-intensive experiments, ML reduces the overall cost of materials research and development.</w:t>
      </w:r>
    </w:p>
    <w:p w14:paraId="02766E07">
      <w:pPr>
        <w:ind w:firstLine="400" w:firstLineChars="200"/>
        <w:rPr>
          <w:rFonts w:ascii="Times New Roman" w:hAnsi="Times New Roman" w:cs="Times New Roman"/>
          <w:sz w:val="20"/>
          <w:szCs w:val="20"/>
        </w:rPr>
      </w:pPr>
      <w:r>
        <w:rPr>
          <w:rFonts w:ascii="Times New Roman" w:hAnsi="Times New Roman" w:cs="Times New Roman"/>
          <w:sz w:val="20"/>
          <w:szCs w:val="20"/>
        </w:rPr>
        <w:t>High-Throughput Screening: ML facilitates high-throughput screening of millions of candidates in silico (via simulations) before experimental validation, which is especially useful for exploring large compositional and structural spaces.</w:t>
      </w:r>
    </w:p>
    <w:p w14:paraId="6905BA25">
      <w:pPr>
        <w:ind w:firstLine="400" w:firstLineChars="200"/>
        <w:rPr>
          <w:rFonts w:ascii="Times New Roman" w:hAnsi="Times New Roman" w:cs="Times New Roman"/>
          <w:sz w:val="20"/>
          <w:szCs w:val="20"/>
        </w:rPr>
      </w:pPr>
      <w:r>
        <w:rPr>
          <w:rFonts w:ascii="Times New Roman" w:hAnsi="Times New Roman" w:cs="Times New Roman"/>
          <w:sz w:val="20"/>
          <w:szCs w:val="20"/>
        </w:rPr>
        <w:t>Integration with Experimental Techniques: ML can guide experiments by predicting outcomes, suggesting optimal conditions, and interpreting experimental data, enhancing the feedback loop between theory and practice.</w:t>
      </w:r>
    </w:p>
    <w:p w14:paraId="0E5AE353">
      <w:pPr>
        <w:ind w:firstLine="400" w:firstLineChars="200"/>
        <w:rPr>
          <w:rFonts w:ascii="Times New Roman" w:hAnsi="Times New Roman" w:cs="Times New Roman"/>
          <w:sz w:val="20"/>
          <w:szCs w:val="20"/>
        </w:rPr>
      </w:pPr>
      <w:r>
        <w:rPr>
          <w:rFonts w:ascii="Times New Roman" w:hAnsi="Times New Roman" w:cs="Times New Roman"/>
          <w:sz w:val="20"/>
          <w:szCs w:val="20"/>
        </w:rPr>
        <w:t>Cross-Disciplinary Applications: ML integrates knowledge from diverse fields (e.g., chemistry, physics, and engineering), supporting the development of multi-functional and advanced materials.</w:t>
      </w:r>
    </w:p>
    <w:p w14:paraId="06BF575E">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Real-Time Decision Support: ML aids researchers in making real-time decisions by providing rapid predictions and insights during experimental workflows.</w:t>
      </w:r>
    </w:p>
    <w:p w14:paraId="3F831F68">
      <w:pPr>
        <w:ind w:firstLine="400" w:firstLineChars="200"/>
        <w:rPr>
          <w:rFonts w:ascii="Times New Roman" w:hAnsi="Times New Roman" w:cs="Times New Roman"/>
          <w:sz w:val="20"/>
          <w:szCs w:val="20"/>
        </w:rPr>
      </w:pPr>
      <w:r>
        <w:rPr>
          <w:rFonts w:ascii="Times New Roman" w:hAnsi="Times New Roman" w:cs="Times New Roman"/>
          <w:sz w:val="20"/>
          <w:szCs w:val="20"/>
        </w:rPr>
        <w:t>In summary, the advantage of machine learning lies in its ability to revolutionize materials development by enhancing the speed, precision, and efficiency of the discovery, optimization, and understanding process.</w:t>
      </w:r>
    </w:p>
    <w:p w14:paraId="5F9E495D">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DeepAcceptor is a deep learning-based framework designed to accelerate the design and discovery of high-performance small-molecule non-fullerene acceptor (NFA) materials for organic solar cells (OSCs). It integrates advanced machine learning techniques to predict power conversion efficiencies (PCEs), leveraging a combination of graph representation learning through a Bidirectional Encoder Representations from Transformers (BERT)-based model, termed abcBERT. The framework utilizes both computational data derived from density functional theory (DFT) and a curated experimental dataset, which includes 1027 NFAs with their PCEs collected from literature. By pre-training abcBERT on computational data and fine-tuning it with experimental data, DeepAcceptor achieves high prediction accuracy (Mean Absolute Error, MAE = 1.78, and R</w:t>
      </w:r>
      <w:r>
        <w:rPr>
          <w:rFonts w:hint="eastAsia" w:ascii="Times New Roman" w:hAnsi="Times New Roman" w:cs="Times New Roman"/>
          <w:sz w:val="20"/>
          <w:szCs w:val="20"/>
          <w:vertAlign w:val="superscript"/>
        </w:rPr>
        <w:t>2</w:t>
      </w:r>
      <w:r>
        <w:rPr>
          <w:rFonts w:hint="eastAsia" w:ascii="Times New Roman" w:hAnsi="Times New Roman" w:cs="Times New Roman"/>
          <w:sz w:val="20"/>
          <w:szCs w:val="20"/>
        </w:rPr>
        <w:t xml:space="preserve"> = 0.67) and has demonstrated the ability to screen and identify new high-performance NFAs, with experimental validation confirming PCEs exceeding 14%. Additionally, it features a user-friendly online interface, allowing researchers to design and predict the PCE of new molecules in real-time, thus significantly enhancing the efficiency of NFA discovery. </w:t>
      </w:r>
    </w:p>
    <w:p w14:paraId="30B28B6D">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0F9984DF">
      <w:pPr>
        <w:ind w:firstLine="400" w:firstLineChars="200"/>
        <w:rPr>
          <w:rFonts w:ascii="Times New Roman" w:hAnsi="Times New Roman" w:cs="Times New Roman"/>
          <w:sz w:val="20"/>
          <w:szCs w:val="20"/>
        </w:rPr>
      </w:pPr>
      <w:r>
        <w:rPr>
          <w:rFonts w:hint="eastAsia" w:ascii="Times New Roman" w:hAnsi="Times New Roman" w:cs="Times New Roman"/>
          <w:sz w:val="20"/>
          <w:szCs w:val="20"/>
        </w:rPr>
        <w:t>Machine learning, particularly deep learning, has significant advantages in the development of materials. It allows for the analysis and prediction of material properties, optimization of material design, and discovery of new materials with desired properties. Deep learning models can handle large datasets and complex relationships within the data, making them highly effective for tasks such as material property prediction and optimization.</w:t>
      </w:r>
    </w:p>
    <w:p w14:paraId="7227D4BC">
      <w:pPr>
        <w:spacing w:after="100" w:afterAutospacing="1"/>
        <w:ind w:firstLine="400" w:firstLineChars="200"/>
        <w:rPr>
          <w:rFonts w:ascii="Times New Roman" w:hAnsi="Times New Roman" w:cs="Times New Roman"/>
          <w:sz w:val="20"/>
          <w:szCs w:val="20"/>
        </w:rPr>
      </w:pPr>
      <w:bookmarkStart w:id="1" w:name="_GoBack"/>
      <w:r>
        <w:rPr>
          <w:rFonts w:hint="eastAsia" w:ascii="Times New Roman" w:hAnsi="Times New Roman" w:cs="Times New Roman"/>
          <w:sz w:val="20"/>
          <w:szCs w:val="20"/>
        </w:rPr>
        <w:t xml:space="preserve">DeepAcceptor is a deep learning-based framework designed to aid in the design and discovery of highly efficient small molecule acceptor materials. It includes components for data collection and management, and a power conversion efficiency (PCE) predictor based on advanced neural network architectures like abcBERT. </w:t>
      </w:r>
      <w:bookmarkEnd w:id="1"/>
      <w:r>
        <w:rPr>
          <w:rFonts w:hint="eastAsia" w:ascii="Times New Roman" w:hAnsi="Times New Roman" w:cs="Times New Roman"/>
          <w:sz w:val="20"/>
          <w:szCs w:val="20"/>
        </w:rPr>
        <w:t>This framework leverages the power of deep learning to predict and optimize the performance of acceptor materials in various applications, particularly in organic photovoltaics.</w:t>
      </w:r>
    </w:p>
    <w:p w14:paraId="581DD10A">
      <w:pPr>
        <w:pStyle w:val="31"/>
        <w:numPr>
          <w:ilvl w:val="0"/>
          <w:numId w:val="2"/>
        </w:numPr>
        <w:ind w:left="363" w:hanging="363"/>
        <w:outlineLvl w:val="0"/>
        <w:rPr>
          <w:rFonts w:ascii="Times New Roman" w:hAnsi="Times New Roman" w:cs="Times New Roman"/>
          <w:b/>
          <w:bCs/>
          <w:color w:val="2E75B6" w:themeColor="accent5" w:themeShade="BF"/>
          <w:szCs w:val="21"/>
        </w:rPr>
      </w:pPr>
      <w:r>
        <w:rPr>
          <w:rFonts w:ascii="Times New Roman" w:hAnsi="Times New Roman" w:cs="Times New Roman"/>
          <w:b/>
          <w:bCs/>
          <w:color w:val="2E75B6" w:themeColor="accent5" w:themeShade="BF"/>
          <w:szCs w:val="21"/>
        </w:rPr>
        <w:t>Key issues must be considered when designing asymmetric donors to achieve the commercial application of asy-OSCs</w:t>
      </w:r>
    </w:p>
    <w:p w14:paraId="1FF5D87F">
      <w:pPr>
        <w:outlineLvl w:val="1"/>
        <w:rPr>
          <w:rFonts w:ascii="Times New Roman" w:hAnsi="Times New Roman" w:cs="Times New Roman"/>
          <w:szCs w:val="21"/>
        </w:rPr>
      </w:pPr>
      <w:r>
        <w:rPr>
          <w:rFonts w:hint="eastAsia" w:ascii="Times New Roman" w:hAnsi="Times New Roman" w:cs="Times New Roman"/>
          <w:b/>
          <w:bCs/>
          <w:szCs w:val="21"/>
        </w:rPr>
        <w:t>Response</w:t>
      </w:r>
      <w:r>
        <w:rPr>
          <w:rFonts w:ascii="Times New Roman" w:hAnsi="Times New Roman" w:cs="Times New Roman"/>
          <w:b/>
          <w:bCs/>
          <w:szCs w:val="21"/>
        </w:rPr>
        <w:t xml:space="preserve"> A:</w:t>
      </w:r>
    </w:p>
    <w:p w14:paraId="19EDC0E8">
      <w:pPr>
        <w:ind w:firstLine="400" w:firstLineChars="200"/>
        <w:rPr>
          <w:rFonts w:ascii="Times New Roman" w:hAnsi="Times New Roman" w:cs="Times New Roman"/>
          <w:sz w:val="20"/>
          <w:szCs w:val="20"/>
        </w:rPr>
      </w:pPr>
      <w:r>
        <w:rPr>
          <w:rFonts w:ascii="Times New Roman" w:hAnsi="Times New Roman" w:cs="Times New Roman"/>
          <w:sz w:val="20"/>
          <w:szCs w:val="20"/>
        </w:rPr>
        <w:t>Designing asymmetric donors for asymmetric organic solar cells (asy-OSCs) to achieve commercial application involves addressing several key issues to ensure high performance, stability, scalability, and cost-effectiveness. Below are the critical aspects that must be considered:</w:t>
      </w:r>
    </w:p>
    <w:p w14:paraId="761B9CF4">
      <w:pPr>
        <w:rPr>
          <w:rFonts w:ascii="Times New Roman" w:hAnsi="Times New Roman" w:cs="Times New Roman"/>
          <w:sz w:val="20"/>
          <w:szCs w:val="20"/>
        </w:rPr>
      </w:pPr>
      <w:r>
        <w:rPr>
          <w:rFonts w:hint="eastAsia" w:ascii="Times New Roman" w:hAnsi="Times New Roman" w:cs="Times New Roman"/>
          <w:sz w:val="20"/>
          <w:szCs w:val="20"/>
        </w:rPr>
        <w:t>1.</w:t>
      </w:r>
      <w:r>
        <w:rPr>
          <w:rFonts w:ascii="Times New Roman" w:hAnsi="Times New Roman" w:cs="Times New Roman"/>
          <w:sz w:val="20"/>
          <w:szCs w:val="20"/>
        </w:rPr>
        <w:t xml:space="preserve"> Optimizing Energy Levels</w:t>
      </w:r>
    </w:p>
    <w:p w14:paraId="1C613FEB">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HOMO and LUMO Alignment:</w:t>
      </w:r>
    </w:p>
    <w:p w14:paraId="59DDD6D6">
      <w:pPr>
        <w:ind w:firstLine="400" w:firstLineChars="200"/>
        <w:rPr>
          <w:rFonts w:ascii="Times New Roman" w:hAnsi="Times New Roman" w:cs="Times New Roman"/>
          <w:sz w:val="20"/>
          <w:szCs w:val="20"/>
        </w:rPr>
      </w:pPr>
      <w:r>
        <w:rPr>
          <w:rFonts w:ascii="Times New Roman" w:hAnsi="Times New Roman" w:cs="Times New Roman"/>
          <w:sz w:val="20"/>
          <w:szCs w:val="20"/>
        </w:rPr>
        <w:t>The energy levels of the asymmetric donor must be carefully tuned to ensure efficient charge transfer to the acceptor.</w:t>
      </w:r>
    </w:p>
    <w:p w14:paraId="2E87BFFC">
      <w:pPr>
        <w:ind w:firstLine="400" w:firstLineChars="200"/>
        <w:rPr>
          <w:rFonts w:ascii="Times New Roman" w:hAnsi="Times New Roman" w:cs="Times New Roman"/>
          <w:sz w:val="20"/>
          <w:szCs w:val="20"/>
        </w:rPr>
      </w:pPr>
      <w:r>
        <w:rPr>
          <w:rFonts w:ascii="Times New Roman" w:hAnsi="Times New Roman" w:cs="Times New Roman"/>
          <w:sz w:val="20"/>
          <w:szCs w:val="20"/>
        </w:rPr>
        <w:t>The HOMO (highest occupied molecular orbital) should be low enough to provide a high open-circuit voltage , while the LUMO (lowest unoccupied molecular orbital) should align well with the acceptor's LUMO for efficient charge separation.</w:t>
      </w:r>
    </w:p>
    <w:p w14:paraId="28DD0422">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Energy Loss Minimization:</w:t>
      </w:r>
    </w:p>
    <w:p w14:paraId="0ABC62EB">
      <w:pPr>
        <w:ind w:firstLine="400" w:firstLineChars="200"/>
        <w:rPr>
          <w:rFonts w:ascii="Times New Roman" w:hAnsi="Times New Roman" w:cs="Times New Roman"/>
          <w:sz w:val="20"/>
          <w:szCs w:val="20"/>
        </w:rPr>
      </w:pPr>
      <w:r>
        <w:rPr>
          <w:rFonts w:ascii="Times New Roman" w:hAnsi="Times New Roman" w:cs="Times New Roman"/>
          <w:sz w:val="20"/>
          <w:szCs w:val="20"/>
        </w:rPr>
        <w:t>Minimize the energy loss to improve power conversion efficiency (PCE).</w:t>
      </w:r>
    </w:p>
    <w:p w14:paraId="088115FC">
      <w:pPr>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Broad and Strong Light Absorption</w:t>
      </w:r>
    </w:p>
    <w:p w14:paraId="5B3509A3">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Asymmetric Molecular Design:</w:t>
      </w:r>
    </w:p>
    <w:p w14:paraId="1CBF88AF">
      <w:pPr>
        <w:ind w:firstLine="400" w:firstLineChars="200"/>
        <w:rPr>
          <w:rFonts w:ascii="Times New Roman" w:hAnsi="Times New Roman" w:cs="Times New Roman"/>
          <w:sz w:val="20"/>
          <w:szCs w:val="20"/>
        </w:rPr>
      </w:pPr>
      <w:r>
        <w:rPr>
          <w:rFonts w:ascii="Times New Roman" w:hAnsi="Times New Roman" w:cs="Times New Roman"/>
          <w:sz w:val="20"/>
          <w:szCs w:val="20"/>
        </w:rPr>
        <w:t>Asymmetric donors often exhibit broader and stronger absorption spectra due to their unique molecular structures. This enhances the light-harvesting capability of the solar cell.</w:t>
      </w:r>
    </w:p>
    <w:p w14:paraId="7AEB6C93">
      <w:pPr>
        <w:ind w:firstLine="400" w:firstLineChars="200"/>
        <w:rPr>
          <w:rFonts w:ascii="Times New Roman" w:hAnsi="Times New Roman" w:cs="Times New Roman"/>
          <w:sz w:val="20"/>
          <w:szCs w:val="20"/>
        </w:rPr>
      </w:pPr>
      <w:r>
        <w:rPr>
          <w:rFonts w:ascii="Times New Roman" w:hAnsi="Times New Roman" w:cs="Times New Roman"/>
          <w:sz w:val="20"/>
          <w:szCs w:val="20"/>
        </w:rPr>
        <w:t>The donor should ideally absorb in complementary regions of the solar spectrum to the acceptor, ensuring maximal light utilization.</w:t>
      </w:r>
    </w:p>
    <w:p w14:paraId="34B13CCA">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Near-Infrared (NIR) Absorption:</w:t>
      </w:r>
    </w:p>
    <w:p w14:paraId="64949618">
      <w:pPr>
        <w:ind w:firstLine="400" w:firstLineChars="200"/>
        <w:rPr>
          <w:rFonts w:ascii="Times New Roman" w:hAnsi="Times New Roman" w:cs="Times New Roman"/>
          <w:sz w:val="20"/>
          <w:szCs w:val="20"/>
        </w:rPr>
      </w:pPr>
      <w:r>
        <w:rPr>
          <w:rFonts w:ascii="Times New Roman" w:hAnsi="Times New Roman" w:cs="Times New Roman"/>
          <w:sz w:val="20"/>
          <w:szCs w:val="20"/>
        </w:rPr>
        <w:t>For tandem or high-efficiency single-junction devices, donors with extended absorption into the NIR region are desirable.</w:t>
      </w:r>
    </w:p>
    <w:p w14:paraId="651D9703">
      <w:pPr>
        <w:rPr>
          <w:rFonts w:ascii="Times New Roman" w:hAnsi="Times New Roman" w:cs="Times New Roman"/>
          <w:sz w:val="20"/>
          <w:szCs w:val="20"/>
        </w:rPr>
      </w:pPr>
      <w:r>
        <w:rPr>
          <w:rFonts w:hint="eastAsia" w:ascii="Times New Roman" w:hAnsi="Times New Roman" w:cs="Times New Roman"/>
          <w:sz w:val="20"/>
          <w:szCs w:val="20"/>
        </w:rPr>
        <w:t>3.</w:t>
      </w:r>
      <w:r>
        <w:rPr>
          <w:rFonts w:ascii="Times New Roman" w:hAnsi="Times New Roman" w:cs="Times New Roman"/>
          <w:sz w:val="20"/>
          <w:szCs w:val="20"/>
        </w:rPr>
        <w:t xml:space="preserve"> Molecular Packing and Morphology</w:t>
      </w:r>
    </w:p>
    <w:p w14:paraId="3B374454">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Optimized Molecular Packing:</w:t>
      </w:r>
    </w:p>
    <w:p w14:paraId="5245161E">
      <w:pPr>
        <w:ind w:firstLine="400" w:firstLineChars="200"/>
        <w:rPr>
          <w:rFonts w:ascii="Times New Roman" w:hAnsi="Times New Roman" w:cs="Times New Roman"/>
          <w:sz w:val="20"/>
          <w:szCs w:val="20"/>
        </w:rPr>
      </w:pPr>
      <w:r>
        <w:rPr>
          <w:rFonts w:ascii="Times New Roman" w:hAnsi="Times New Roman" w:cs="Times New Roman"/>
          <w:sz w:val="20"/>
          <w:szCs w:val="20"/>
        </w:rPr>
        <w:t>Asymmetric donors often exhibit unique packing behavior due to their structural asymmetry. This can influence the morphology of the active layer and charge transport properties.</w:t>
      </w:r>
    </w:p>
    <w:p w14:paraId="3F6E614D">
      <w:pPr>
        <w:ind w:firstLine="400" w:firstLineChars="200"/>
        <w:rPr>
          <w:rFonts w:ascii="Times New Roman" w:hAnsi="Times New Roman" w:cs="Times New Roman"/>
          <w:sz w:val="20"/>
          <w:szCs w:val="20"/>
        </w:rPr>
      </w:pPr>
      <w:r>
        <w:rPr>
          <w:rFonts w:ascii="Times New Roman" w:hAnsi="Times New Roman" w:cs="Times New Roman"/>
          <w:sz w:val="20"/>
          <w:szCs w:val="20"/>
        </w:rPr>
        <w:t>Proper molecular packing is essential for achieving high charge mobility and minimizing recombination losses.</w:t>
      </w:r>
    </w:p>
    <w:p w14:paraId="0897B01A">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Blend Morphology:</w:t>
      </w:r>
    </w:p>
    <w:p w14:paraId="3E4B82DA">
      <w:pPr>
        <w:ind w:firstLine="400" w:firstLineChars="200"/>
        <w:rPr>
          <w:rFonts w:ascii="Times New Roman" w:hAnsi="Times New Roman" w:cs="Times New Roman"/>
          <w:sz w:val="20"/>
          <w:szCs w:val="20"/>
        </w:rPr>
      </w:pPr>
      <w:r>
        <w:rPr>
          <w:rFonts w:ascii="Times New Roman" w:hAnsi="Times New Roman" w:cs="Times New Roman"/>
          <w:sz w:val="20"/>
          <w:szCs w:val="20"/>
        </w:rPr>
        <w:t>The donor-acceptor blend should form an ideal nanoscale phase separation with continuous charge transport pathways.</w:t>
      </w:r>
    </w:p>
    <w:p w14:paraId="71E7C1E1">
      <w:pPr>
        <w:ind w:firstLine="400" w:firstLineChars="200"/>
        <w:rPr>
          <w:rFonts w:ascii="Times New Roman" w:hAnsi="Times New Roman" w:cs="Times New Roman"/>
          <w:sz w:val="20"/>
          <w:szCs w:val="20"/>
        </w:rPr>
      </w:pPr>
      <w:r>
        <w:rPr>
          <w:rFonts w:ascii="Times New Roman" w:hAnsi="Times New Roman" w:cs="Times New Roman"/>
          <w:sz w:val="20"/>
          <w:szCs w:val="20"/>
        </w:rPr>
        <w:t>Asymmetric donors may require specific processing conditions (e.g., solvent selection, annealing) to achieve optimal morphology.</w:t>
      </w:r>
    </w:p>
    <w:p w14:paraId="15E3DC38">
      <w:pPr>
        <w:rPr>
          <w:rFonts w:ascii="Times New Roman" w:hAnsi="Times New Roman" w:cs="Times New Roman"/>
          <w:sz w:val="20"/>
          <w:szCs w:val="20"/>
        </w:rPr>
      </w:pPr>
      <w:r>
        <w:rPr>
          <w:rFonts w:hint="eastAsia" w:ascii="Times New Roman" w:hAnsi="Times New Roman" w:cs="Times New Roman"/>
          <w:sz w:val="20"/>
          <w:szCs w:val="20"/>
        </w:rPr>
        <w:t>4.</w:t>
      </w:r>
      <w:r>
        <w:rPr>
          <w:rFonts w:ascii="Times New Roman" w:hAnsi="Times New Roman" w:cs="Times New Roman"/>
          <w:sz w:val="20"/>
          <w:szCs w:val="20"/>
        </w:rPr>
        <w:t xml:space="preserve"> Charge Transport and Mobility</w:t>
      </w:r>
    </w:p>
    <w:p w14:paraId="61841A99">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Balanced Charge Transport:</w:t>
      </w:r>
    </w:p>
    <w:p w14:paraId="23FD39A6">
      <w:pPr>
        <w:ind w:firstLine="400" w:firstLineChars="200"/>
        <w:rPr>
          <w:rFonts w:ascii="Times New Roman" w:hAnsi="Times New Roman" w:cs="Times New Roman"/>
          <w:sz w:val="20"/>
          <w:szCs w:val="20"/>
        </w:rPr>
      </w:pPr>
      <w:r>
        <w:rPr>
          <w:rFonts w:ascii="Times New Roman" w:hAnsi="Times New Roman" w:cs="Times New Roman"/>
          <w:sz w:val="20"/>
          <w:szCs w:val="20"/>
        </w:rPr>
        <w:t>The donor should exhibit high hole mobility to ensure balanced charge transport with the acceptor's electron mobility.</w:t>
      </w:r>
    </w:p>
    <w:p w14:paraId="44995585">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Reduced Recombination:</w:t>
      </w:r>
    </w:p>
    <w:p w14:paraId="78E56C24">
      <w:pPr>
        <w:ind w:firstLine="400" w:firstLineChars="200"/>
        <w:rPr>
          <w:rFonts w:ascii="Times New Roman" w:hAnsi="Times New Roman" w:cs="Times New Roman"/>
          <w:sz w:val="20"/>
          <w:szCs w:val="20"/>
        </w:rPr>
      </w:pPr>
      <w:r>
        <w:rPr>
          <w:rFonts w:ascii="Times New Roman" w:hAnsi="Times New Roman" w:cs="Times New Roman"/>
          <w:sz w:val="20"/>
          <w:szCs w:val="20"/>
        </w:rPr>
        <w:t>Asymmetric donors should facilitate efficient charge separation and transport, minimizing charge recombination losses.</w:t>
      </w:r>
    </w:p>
    <w:p w14:paraId="448FA455">
      <w:pPr>
        <w:rPr>
          <w:rFonts w:ascii="Times New Roman" w:hAnsi="Times New Roman" w:cs="Times New Roman"/>
          <w:sz w:val="20"/>
          <w:szCs w:val="20"/>
        </w:rPr>
      </w:pPr>
      <w:r>
        <w:rPr>
          <w:rFonts w:hint="eastAsia" w:ascii="Times New Roman" w:hAnsi="Times New Roman" w:cs="Times New Roman"/>
          <w:sz w:val="20"/>
          <w:szCs w:val="20"/>
        </w:rPr>
        <w:t>5.</w:t>
      </w:r>
      <w:r>
        <w:rPr>
          <w:rFonts w:ascii="Times New Roman" w:hAnsi="Times New Roman" w:cs="Times New Roman"/>
          <w:sz w:val="20"/>
          <w:szCs w:val="20"/>
        </w:rPr>
        <w:t xml:space="preserve"> Stability</w:t>
      </w:r>
    </w:p>
    <w:p w14:paraId="55A01DFB">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Thermal Stability:</w:t>
      </w:r>
    </w:p>
    <w:p w14:paraId="7AAAFC7F">
      <w:pPr>
        <w:ind w:firstLine="400" w:firstLineChars="200"/>
        <w:rPr>
          <w:rFonts w:ascii="Times New Roman" w:hAnsi="Times New Roman" w:cs="Times New Roman"/>
          <w:sz w:val="20"/>
          <w:szCs w:val="20"/>
        </w:rPr>
      </w:pPr>
      <w:r>
        <w:rPr>
          <w:rFonts w:ascii="Times New Roman" w:hAnsi="Times New Roman" w:cs="Times New Roman"/>
          <w:sz w:val="20"/>
          <w:szCs w:val="20"/>
        </w:rPr>
        <w:t>The donor material must withstand high temperatures during processing and operation without degrading or crystallizing.</w:t>
      </w:r>
    </w:p>
    <w:p w14:paraId="0CA59DEF">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Photochemical Stability:</w:t>
      </w:r>
    </w:p>
    <w:p w14:paraId="48A88ECC">
      <w:pPr>
        <w:ind w:firstLine="400" w:firstLineChars="200"/>
        <w:rPr>
          <w:rFonts w:ascii="Times New Roman" w:hAnsi="Times New Roman" w:cs="Times New Roman"/>
          <w:sz w:val="20"/>
          <w:szCs w:val="20"/>
        </w:rPr>
      </w:pPr>
      <w:r>
        <w:rPr>
          <w:rFonts w:ascii="Times New Roman" w:hAnsi="Times New Roman" w:cs="Times New Roman"/>
          <w:sz w:val="20"/>
          <w:szCs w:val="20"/>
        </w:rPr>
        <w:t>The asymmetric donor should resist photochemical degradation under prolonged exposure to sunlight.</w:t>
      </w:r>
    </w:p>
    <w:p w14:paraId="057B1210">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Morphological Stability:</w:t>
      </w:r>
    </w:p>
    <w:p w14:paraId="5A7D27A0">
      <w:pPr>
        <w:ind w:firstLine="400" w:firstLineChars="200"/>
        <w:rPr>
          <w:rFonts w:ascii="Times New Roman" w:hAnsi="Times New Roman" w:cs="Times New Roman"/>
          <w:sz w:val="20"/>
          <w:szCs w:val="20"/>
        </w:rPr>
      </w:pPr>
      <w:r>
        <w:rPr>
          <w:rFonts w:ascii="Times New Roman" w:hAnsi="Times New Roman" w:cs="Times New Roman"/>
          <w:sz w:val="20"/>
          <w:szCs w:val="20"/>
        </w:rPr>
        <w:t>The active layer morphology should remain stable over time to ensure long device lifetimes.</w:t>
      </w:r>
    </w:p>
    <w:p w14:paraId="19B767DB">
      <w:pPr>
        <w:rPr>
          <w:rFonts w:ascii="Times New Roman" w:hAnsi="Times New Roman" w:cs="Times New Roman"/>
          <w:sz w:val="20"/>
          <w:szCs w:val="20"/>
        </w:rPr>
      </w:pPr>
      <w:r>
        <w:rPr>
          <w:rFonts w:hint="eastAsia" w:ascii="Times New Roman" w:hAnsi="Times New Roman" w:cs="Times New Roman"/>
          <w:sz w:val="20"/>
          <w:szCs w:val="20"/>
        </w:rPr>
        <w:t>6.</w:t>
      </w:r>
      <w:r>
        <w:rPr>
          <w:rFonts w:ascii="Times New Roman" w:hAnsi="Times New Roman" w:cs="Times New Roman"/>
          <w:sz w:val="20"/>
          <w:szCs w:val="20"/>
        </w:rPr>
        <w:t xml:space="preserve"> Scalability and Processability</w:t>
      </w:r>
    </w:p>
    <w:p w14:paraId="2C180A30">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Synthetic Simplicity:</w:t>
      </w:r>
    </w:p>
    <w:p w14:paraId="314B8DCF">
      <w:pPr>
        <w:ind w:firstLine="400" w:firstLineChars="200"/>
        <w:rPr>
          <w:rFonts w:ascii="Times New Roman" w:hAnsi="Times New Roman" w:cs="Times New Roman"/>
          <w:sz w:val="20"/>
          <w:szCs w:val="20"/>
        </w:rPr>
      </w:pPr>
      <w:r>
        <w:rPr>
          <w:rFonts w:ascii="Times New Roman" w:hAnsi="Times New Roman" w:cs="Times New Roman"/>
          <w:sz w:val="20"/>
          <w:szCs w:val="20"/>
        </w:rPr>
        <w:t>The synthesis of asymmetric donors should involve fewer steps, low-cost starting materials, and high yields to reduce production costs.</w:t>
      </w:r>
    </w:p>
    <w:p w14:paraId="3A8C04C8">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Solution Processability:</w:t>
      </w:r>
    </w:p>
    <w:p w14:paraId="28A04A8B">
      <w:pPr>
        <w:ind w:firstLine="400" w:firstLineChars="200"/>
        <w:rPr>
          <w:rFonts w:ascii="Times New Roman" w:hAnsi="Times New Roman" w:cs="Times New Roman"/>
          <w:sz w:val="20"/>
          <w:szCs w:val="20"/>
        </w:rPr>
      </w:pPr>
      <w:r>
        <w:rPr>
          <w:rFonts w:ascii="Times New Roman" w:hAnsi="Times New Roman" w:cs="Times New Roman"/>
          <w:sz w:val="20"/>
          <w:szCs w:val="20"/>
        </w:rPr>
        <w:t>The donor should be easily processable from solution to enable scalable manufacturing techniques like roll-to-roll printing or slot-die coating.</w:t>
      </w:r>
    </w:p>
    <w:p w14:paraId="285880D4">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Solvent Compatibility:</w:t>
      </w:r>
    </w:p>
    <w:p w14:paraId="6E8AA019">
      <w:pPr>
        <w:ind w:firstLine="400" w:firstLineChars="200"/>
        <w:rPr>
          <w:rFonts w:ascii="Times New Roman" w:hAnsi="Times New Roman" w:cs="Times New Roman"/>
          <w:sz w:val="20"/>
          <w:szCs w:val="20"/>
        </w:rPr>
      </w:pPr>
      <w:r>
        <w:rPr>
          <w:rFonts w:ascii="Times New Roman" w:hAnsi="Times New Roman" w:cs="Times New Roman"/>
          <w:sz w:val="20"/>
          <w:szCs w:val="20"/>
        </w:rPr>
        <w:t>Use of environmentally friendly solvents (e.g., water, alcohols) for processing is desirable to reduce toxicity and comply with commercial manufacturing standards.</w:t>
      </w:r>
    </w:p>
    <w:p w14:paraId="271CA2FE">
      <w:pPr>
        <w:rPr>
          <w:rFonts w:ascii="Times New Roman" w:hAnsi="Times New Roman" w:cs="Times New Roman"/>
          <w:sz w:val="20"/>
          <w:szCs w:val="20"/>
        </w:rPr>
      </w:pPr>
      <w:r>
        <w:rPr>
          <w:rFonts w:hint="eastAsia" w:ascii="Times New Roman" w:hAnsi="Times New Roman" w:cs="Times New Roman"/>
          <w:sz w:val="20"/>
          <w:szCs w:val="20"/>
        </w:rPr>
        <w:t>7.</w:t>
      </w:r>
      <w:r>
        <w:rPr>
          <w:rFonts w:ascii="Times New Roman" w:hAnsi="Times New Roman" w:cs="Times New Roman"/>
          <w:sz w:val="20"/>
          <w:szCs w:val="20"/>
        </w:rPr>
        <w:t xml:space="preserve"> Compatibility with Non-Fullerene Acceptors (NFAs)</w:t>
      </w:r>
    </w:p>
    <w:p w14:paraId="10A5A0AD">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Donor-Acceptor Interactions:</w:t>
      </w:r>
    </w:p>
    <w:p w14:paraId="3D11BB61">
      <w:pPr>
        <w:ind w:firstLine="400" w:firstLineChars="200"/>
        <w:rPr>
          <w:rFonts w:ascii="Times New Roman" w:hAnsi="Times New Roman" w:cs="Times New Roman"/>
          <w:sz w:val="20"/>
          <w:szCs w:val="20"/>
        </w:rPr>
      </w:pPr>
      <w:r>
        <w:rPr>
          <w:rFonts w:ascii="Times New Roman" w:hAnsi="Times New Roman" w:cs="Times New Roman"/>
          <w:sz w:val="20"/>
          <w:szCs w:val="20"/>
        </w:rPr>
        <w:t>The asymmetric donor must exhibit strong compatibility with state-of-the-art NFAs to achieve high PCE.</w:t>
      </w:r>
    </w:p>
    <w:p w14:paraId="6C4E4A5B">
      <w:pPr>
        <w:ind w:firstLine="400" w:firstLineChars="200"/>
        <w:rPr>
          <w:rFonts w:ascii="Times New Roman" w:hAnsi="Times New Roman" w:cs="Times New Roman"/>
          <w:sz w:val="20"/>
          <w:szCs w:val="20"/>
        </w:rPr>
      </w:pPr>
      <w:r>
        <w:rPr>
          <w:rFonts w:ascii="Times New Roman" w:hAnsi="Times New Roman" w:cs="Times New Roman"/>
          <w:sz w:val="20"/>
          <w:szCs w:val="20"/>
        </w:rPr>
        <w:t>Proper energy level alignment, complementary absorption spectra, and favorable intermolecular interactions are critical.</w:t>
      </w:r>
    </w:p>
    <w:p w14:paraId="12878843">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Blend Morphology:</w:t>
      </w:r>
    </w:p>
    <w:p w14:paraId="748327E9">
      <w:pPr>
        <w:ind w:firstLine="400" w:firstLineChars="200"/>
        <w:rPr>
          <w:rFonts w:ascii="Times New Roman" w:hAnsi="Times New Roman" w:cs="Times New Roman"/>
          <w:sz w:val="20"/>
          <w:szCs w:val="20"/>
        </w:rPr>
      </w:pPr>
      <w:r>
        <w:rPr>
          <w:rFonts w:ascii="Times New Roman" w:hAnsi="Times New Roman" w:cs="Times New Roman"/>
          <w:sz w:val="20"/>
          <w:szCs w:val="20"/>
        </w:rPr>
        <w:t>The donor should form a stable and optimized morphology with the NFA, ensuring efficient charge generation and transport.</w:t>
      </w:r>
    </w:p>
    <w:p w14:paraId="5461A797">
      <w:pPr>
        <w:rPr>
          <w:rFonts w:ascii="Times New Roman" w:hAnsi="Times New Roman" w:cs="Times New Roman"/>
          <w:sz w:val="20"/>
          <w:szCs w:val="20"/>
        </w:rPr>
      </w:pPr>
      <w:r>
        <w:rPr>
          <w:rFonts w:hint="eastAsia" w:ascii="Times New Roman" w:hAnsi="Times New Roman" w:cs="Times New Roman"/>
          <w:sz w:val="20"/>
          <w:szCs w:val="20"/>
        </w:rPr>
        <w:t>8.</w:t>
      </w:r>
      <w:r>
        <w:rPr>
          <w:rFonts w:ascii="Times New Roman" w:hAnsi="Times New Roman" w:cs="Times New Roman"/>
          <w:sz w:val="20"/>
          <w:szCs w:val="20"/>
        </w:rPr>
        <w:t xml:space="preserve"> Cost and Availability of Materials</w:t>
      </w:r>
    </w:p>
    <w:p w14:paraId="41672505">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Raw Material Cost:</w:t>
      </w:r>
    </w:p>
    <w:p w14:paraId="2D041080">
      <w:pPr>
        <w:ind w:firstLine="400" w:firstLineChars="200"/>
        <w:rPr>
          <w:rFonts w:ascii="Times New Roman" w:hAnsi="Times New Roman" w:cs="Times New Roman"/>
          <w:sz w:val="20"/>
          <w:szCs w:val="20"/>
        </w:rPr>
      </w:pPr>
      <w:r>
        <w:rPr>
          <w:rFonts w:ascii="Times New Roman" w:hAnsi="Times New Roman" w:cs="Times New Roman"/>
          <w:sz w:val="20"/>
          <w:szCs w:val="20"/>
        </w:rPr>
        <w:t>The starting materials for synthesizing asymmetric donors should be affordable and widely available.</w:t>
      </w:r>
    </w:p>
    <w:p w14:paraId="0FF9D69E">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Manufacturing Costs:</w:t>
      </w:r>
    </w:p>
    <w:p w14:paraId="7EAB3640">
      <w:pPr>
        <w:ind w:firstLine="400" w:firstLineChars="200"/>
        <w:rPr>
          <w:rFonts w:ascii="Times New Roman" w:hAnsi="Times New Roman" w:cs="Times New Roman"/>
          <w:sz w:val="20"/>
          <w:szCs w:val="20"/>
        </w:rPr>
      </w:pPr>
      <w:r>
        <w:rPr>
          <w:rFonts w:ascii="Times New Roman" w:hAnsi="Times New Roman" w:cs="Times New Roman"/>
          <w:sz w:val="20"/>
          <w:szCs w:val="20"/>
        </w:rPr>
        <w:t>The overall cost of producing the donor material should be low to enable commercial viability.</w:t>
      </w:r>
    </w:p>
    <w:p w14:paraId="094D20B3">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Scalable Synthesis:</w:t>
      </w:r>
    </w:p>
    <w:p w14:paraId="6EEC38C8">
      <w:pPr>
        <w:ind w:firstLine="400" w:firstLineChars="200"/>
        <w:rPr>
          <w:rFonts w:ascii="Times New Roman" w:hAnsi="Times New Roman" w:cs="Times New Roman"/>
          <w:sz w:val="20"/>
          <w:szCs w:val="20"/>
        </w:rPr>
      </w:pPr>
      <w:r>
        <w:rPr>
          <w:rFonts w:ascii="Times New Roman" w:hAnsi="Times New Roman" w:cs="Times New Roman"/>
          <w:sz w:val="20"/>
          <w:szCs w:val="20"/>
        </w:rPr>
        <w:t>The synthetic route should be scalable for industrial production without significant loss of material quality or performance.</w:t>
      </w:r>
    </w:p>
    <w:p w14:paraId="091A9EB4">
      <w:pPr>
        <w:rPr>
          <w:rFonts w:ascii="Times New Roman" w:hAnsi="Times New Roman" w:cs="Times New Roman"/>
          <w:sz w:val="20"/>
          <w:szCs w:val="20"/>
        </w:rPr>
      </w:pPr>
      <w:r>
        <w:rPr>
          <w:rFonts w:hint="eastAsia" w:ascii="Times New Roman" w:hAnsi="Times New Roman" w:cs="Times New Roman"/>
          <w:sz w:val="20"/>
          <w:szCs w:val="20"/>
        </w:rPr>
        <w:t>9.</w:t>
      </w:r>
      <w:r>
        <w:rPr>
          <w:rFonts w:ascii="Times New Roman" w:hAnsi="Times New Roman" w:cs="Times New Roman"/>
          <w:sz w:val="20"/>
          <w:szCs w:val="20"/>
        </w:rPr>
        <w:t xml:space="preserve"> Environmental and Regulatory Considerations</w:t>
      </w:r>
    </w:p>
    <w:p w14:paraId="5D47260C">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Eco-Friendly Materials:</w:t>
      </w:r>
    </w:p>
    <w:p w14:paraId="0D8B7F37">
      <w:pPr>
        <w:ind w:firstLine="400" w:firstLineChars="200"/>
        <w:rPr>
          <w:rFonts w:ascii="Times New Roman" w:hAnsi="Times New Roman" w:cs="Times New Roman"/>
          <w:sz w:val="20"/>
          <w:szCs w:val="20"/>
        </w:rPr>
      </w:pPr>
      <w:r>
        <w:rPr>
          <w:rFonts w:ascii="Times New Roman" w:hAnsi="Times New Roman" w:cs="Times New Roman"/>
          <w:sz w:val="20"/>
          <w:szCs w:val="20"/>
        </w:rPr>
        <w:t>The donor material should avoid the use of toxic or hazardous substances.</w:t>
      </w:r>
    </w:p>
    <w:p w14:paraId="3B9C2730">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Recyclability:</w:t>
      </w:r>
    </w:p>
    <w:p w14:paraId="70983DD7">
      <w:pPr>
        <w:ind w:firstLine="400" w:firstLineChars="200"/>
        <w:rPr>
          <w:rFonts w:ascii="Times New Roman" w:hAnsi="Times New Roman" w:cs="Times New Roman"/>
          <w:sz w:val="20"/>
          <w:szCs w:val="20"/>
        </w:rPr>
      </w:pPr>
      <w:r>
        <w:rPr>
          <w:rFonts w:ascii="Times New Roman" w:hAnsi="Times New Roman" w:cs="Times New Roman"/>
          <w:sz w:val="20"/>
          <w:szCs w:val="20"/>
        </w:rPr>
        <w:t>The material and device should be designed with recyclability in mind to reduce environmental impact.</w:t>
      </w:r>
    </w:p>
    <w:p w14:paraId="1B896668">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Compliance:</w:t>
      </w:r>
    </w:p>
    <w:p w14:paraId="36A19816">
      <w:pPr>
        <w:ind w:firstLine="400" w:firstLineChars="200"/>
        <w:rPr>
          <w:rFonts w:ascii="Times New Roman" w:hAnsi="Times New Roman" w:cs="Times New Roman"/>
          <w:sz w:val="20"/>
          <w:szCs w:val="20"/>
        </w:rPr>
      </w:pPr>
      <w:r>
        <w:rPr>
          <w:rFonts w:ascii="Times New Roman" w:hAnsi="Times New Roman" w:cs="Times New Roman"/>
          <w:sz w:val="20"/>
          <w:szCs w:val="20"/>
        </w:rPr>
        <w:t>The donor material must meet regulatory standards for commercial applications, particularly in terms of safety and environmental impact.</w:t>
      </w:r>
    </w:p>
    <w:p w14:paraId="3535785D">
      <w:pPr>
        <w:rPr>
          <w:rFonts w:ascii="Times New Roman" w:hAnsi="Times New Roman" w:cs="Times New Roman"/>
          <w:sz w:val="20"/>
          <w:szCs w:val="20"/>
        </w:rPr>
      </w:pPr>
      <w:r>
        <w:rPr>
          <w:rFonts w:hint="eastAsia" w:ascii="Times New Roman" w:hAnsi="Times New Roman" w:cs="Times New Roman"/>
          <w:sz w:val="20"/>
          <w:szCs w:val="20"/>
        </w:rPr>
        <w:t>10.</w:t>
      </w:r>
      <w:r>
        <w:rPr>
          <w:rFonts w:ascii="Times New Roman" w:hAnsi="Times New Roman" w:cs="Times New Roman"/>
          <w:sz w:val="20"/>
          <w:szCs w:val="20"/>
        </w:rPr>
        <w:t xml:space="preserve"> Tandem Device Compatibility</w:t>
      </w:r>
    </w:p>
    <w:p w14:paraId="5F574FA4">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Layer Compatibility:</w:t>
      </w:r>
    </w:p>
    <w:p w14:paraId="339727D6">
      <w:pPr>
        <w:ind w:firstLine="400" w:firstLineChars="200"/>
        <w:rPr>
          <w:rFonts w:ascii="Times New Roman" w:hAnsi="Times New Roman" w:cs="Times New Roman"/>
          <w:sz w:val="20"/>
          <w:szCs w:val="20"/>
        </w:rPr>
      </w:pPr>
      <w:r>
        <w:rPr>
          <w:rFonts w:ascii="Times New Roman" w:hAnsi="Times New Roman" w:cs="Times New Roman"/>
          <w:sz w:val="20"/>
          <w:szCs w:val="20"/>
        </w:rPr>
        <w:t>Asymmetric donors should be compatible with other layers in tandem solar cells, such as interlayers and the second sub-cell.</w:t>
      </w:r>
    </w:p>
    <w:p w14:paraId="48E00DBD">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Spectral Matching:</w:t>
      </w:r>
    </w:p>
    <w:p w14:paraId="567BF30F">
      <w:pPr>
        <w:ind w:firstLine="400" w:firstLineChars="200"/>
        <w:rPr>
          <w:rFonts w:ascii="Times New Roman" w:hAnsi="Times New Roman" w:cs="Times New Roman"/>
          <w:sz w:val="20"/>
          <w:szCs w:val="20"/>
        </w:rPr>
      </w:pPr>
      <w:r>
        <w:rPr>
          <w:rFonts w:ascii="Times New Roman" w:hAnsi="Times New Roman" w:cs="Times New Roman"/>
          <w:sz w:val="20"/>
          <w:szCs w:val="20"/>
        </w:rPr>
        <w:t>The donor’s absorption spectrum should complement the sub-cell materials to maximize tandem device efficiency.</w:t>
      </w:r>
    </w:p>
    <w:p w14:paraId="348F31BA">
      <w:pPr>
        <w:rPr>
          <w:rFonts w:ascii="Times New Roman" w:hAnsi="Times New Roman" w:cs="Times New Roman"/>
          <w:sz w:val="20"/>
          <w:szCs w:val="20"/>
        </w:rPr>
      </w:pPr>
      <w:r>
        <w:rPr>
          <w:rFonts w:hint="eastAsia" w:ascii="Times New Roman" w:hAnsi="Times New Roman" w:cs="Times New Roman"/>
          <w:sz w:val="20"/>
          <w:szCs w:val="20"/>
        </w:rPr>
        <w:t>11.</w:t>
      </w:r>
      <w:r>
        <w:rPr>
          <w:rFonts w:ascii="Times New Roman" w:hAnsi="Times New Roman" w:cs="Times New Roman"/>
          <w:sz w:val="20"/>
          <w:szCs w:val="20"/>
        </w:rPr>
        <w:t xml:space="preserve"> Performance Metrics</w:t>
      </w:r>
    </w:p>
    <w:p w14:paraId="74738E59">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Power Conversion Efficiency (PCE):</w:t>
      </w:r>
    </w:p>
    <w:p w14:paraId="1028EE1C">
      <w:pPr>
        <w:ind w:firstLine="400" w:firstLineChars="200"/>
        <w:rPr>
          <w:rFonts w:ascii="Times New Roman" w:hAnsi="Times New Roman" w:cs="Times New Roman"/>
          <w:sz w:val="20"/>
          <w:szCs w:val="20"/>
        </w:rPr>
      </w:pPr>
      <w:r>
        <w:rPr>
          <w:rFonts w:ascii="Times New Roman" w:hAnsi="Times New Roman" w:cs="Times New Roman"/>
          <w:sz w:val="20"/>
          <w:szCs w:val="20"/>
        </w:rPr>
        <w:t>The donor must enable high PCE (e.g., &gt;15-20%) to compete with other photovoltaic technologies.</w:t>
      </w:r>
    </w:p>
    <w:p w14:paraId="0D4372BB">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Fill Factor (FF):</w:t>
      </w:r>
    </w:p>
    <w:p w14:paraId="6F951924">
      <w:pPr>
        <w:ind w:firstLine="400" w:firstLineChars="200"/>
        <w:rPr>
          <w:rFonts w:ascii="Times New Roman" w:hAnsi="Times New Roman" w:cs="Times New Roman"/>
          <w:sz w:val="20"/>
          <w:szCs w:val="20"/>
        </w:rPr>
      </w:pPr>
      <w:r>
        <w:rPr>
          <w:rFonts w:ascii="Times New Roman" w:hAnsi="Times New Roman" w:cs="Times New Roman"/>
          <w:sz w:val="20"/>
          <w:szCs w:val="20"/>
        </w:rPr>
        <w:t>The donor should contribute to a high FF by ensuring efficient charge extraction and minimal recombination.</w:t>
      </w:r>
    </w:p>
    <w:p w14:paraId="45F27689">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Stability:</w:t>
      </w:r>
    </w:p>
    <w:p w14:paraId="01BA3460">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Devices incorporating asymmetric donors should demonstrate operational lifetimes of 20+ years under real-world conditions.</w:t>
      </w:r>
    </w:p>
    <w:p w14:paraId="7BAE4800">
      <w:pPr>
        <w:rPr>
          <w:rFonts w:hint="eastAsia" w:ascii="Times New Roman" w:hAnsi="Times New Roman" w:cs="Times New Roman"/>
          <w:sz w:val="20"/>
          <w:szCs w:val="20"/>
        </w:rPr>
      </w:pPr>
      <w:r>
        <w:rPr>
          <w:rFonts w:ascii="Times New Roman" w:hAnsi="Times New Roman" w:cs="Times New Roman"/>
          <w:sz w:val="20"/>
          <w:szCs w:val="20"/>
        </w:rPr>
        <w:t>Conclusion</w:t>
      </w:r>
      <w:r>
        <w:rPr>
          <w:rFonts w:hint="eastAsia" w:ascii="Times New Roman" w:hAnsi="Times New Roman" w:cs="Times New Roman"/>
          <w:sz w:val="20"/>
          <w:szCs w:val="20"/>
        </w:rPr>
        <w:t>:</w:t>
      </w:r>
    </w:p>
    <w:p w14:paraId="31ED57F8">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To achieve the commercial application of asymmetric donors in asy-OSCs, it is essential to optimize their energy levels, absorption properties, charge transport, and stability while ensuring scalability, cost-effectiveness, and environmental compliance. By addressing these challenges, asymmetric donors can play a pivotal role in advancing organic solar cells toward large-scale deployment in the renewable energy market.</w:t>
      </w:r>
    </w:p>
    <w:p w14:paraId="5B4F0BC6">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B:</w:t>
      </w:r>
    </w:p>
    <w:p w14:paraId="38F0A060">
      <w:pPr>
        <w:ind w:firstLine="400" w:firstLineChars="200"/>
        <w:rPr>
          <w:rFonts w:ascii="Times New Roman" w:hAnsi="Times New Roman" w:cs="Times New Roman"/>
          <w:sz w:val="20"/>
          <w:szCs w:val="20"/>
        </w:rPr>
      </w:pPr>
      <w:r>
        <w:rPr>
          <w:rFonts w:ascii="Times New Roman" w:hAnsi="Times New Roman" w:cs="Times New Roman"/>
          <w:sz w:val="20"/>
          <w:szCs w:val="20"/>
        </w:rPr>
        <w:t>Key issues to consider when designing asymmetric donors for the commercial application of asymmetric organic solar cells (asy-OSCs):</w:t>
      </w:r>
    </w:p>
    <w:p w14:paraId="39A98E2A">
      <w:pPr>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Energy Level Alignment:</w:t>
      </w:r>
    </w:p>
    <w:p w14:paraId="38BFA0F3">
      <w:pPr>
        <w:ind w:firstLine="400" w:firstLineChars="200"/>
        <w:rPr>
          <w:rFonts w:ascii="Times New Roman" w:hAnsi="Times New Roman" w:cs="Times New Roman"/>
          <w:sz w:val="20"/>
          <w:szCs w:val="20"/>
        </w:rPr>
      </w:pPr>
      <w:r>
        <w:rPr>
          <w:rFonts w:ascii="Times New Roman" w:hAnsi="Times New Roman" w:cs="Times New Roman"/>
          <w:sz w:val="20"/>
          <w:szCs w:val="20"/>
        </w:rPr>
        <w:t>Precise tuning of the donor energy levels (HOMO and LUMO) is critical to optimize the open-circuit voltage (Voc) and facilitate efficient exciton dissociation.</w:t>
      </w:r>
    </w:p>
    <w:p w14:paraId="2A8E63E5">
      <w:pPr>
        <w:ind w:firstLine="400" w:firstLineChars="200"/>
        <w:rPr>
          <w:rFonts w:ascii="Times New Roman" w:hAnsi="Times New Roman" w:cs="Times New Roman"/>
          <w:sz w:val="20"/>
          <w:szCs w:val="20"/>
        </w:rPr>
      </w:pPr>
      <w:r>
        <w:rPr>
          <w:rFonts w:ascii="Times New Roman" w:hAnsi="Times New Roman" w:cs="Times New Roman"/>
          <w:sz w:val="20"/>
          <w:szCs w:val="20"/>
        </w:rPr>
        <w:t>Proper alignment with acceptor materials is necessary to reduce energy losses during charge transfer.</w:t>
      </w:r>
    </w:p>
    <w:p w14:paraId="5D1A10C1">
      <w:pPr>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Molecular Packing and Morphology:</w:t>
      </w:r>
    </w:p>
    <w:p w14:paraId="4C01AF94">
      <w:pPr>
        <w:ind w:firstLine="400" w:firstLineChars="200"/>
        <w:rPr>
          <w:rFonts w:ascii="Times New Roman" w:hAnsi="Times New Roman" w:cs="Times New Roman"/>
          <w:sz w:val="20"/>
          <w:szCs w:val="20"/>
        </w:rPr>
      </w:pPr>
      <w:r>
        <w:rPr>
          <w:rFonts w:ascii="Times New Roman" w:hAnsi="Times New Roman" w:cs="Times New Roman"/>
          <w:sz w:val="20"/>
          <w:szCs w:val="20"/>
        </w:rPr>
        <w:t>Designing asymmetric donors that enable suitable intermolecular interactions to ensure optimal molecular packing in the active layer is essential.</w:t>
      </w:r>
    </w:p>
    <w:p w14:paraId="77B99714">
      <w:pPr>
        <w:ind w:firstLine="400" w:firstLineChars="200"/>
        <w:rPr>
          <w:rFonts w:ascii="Times New Roman" w:hAnsi="Times New Roman" w:cs="Times New Roman"/>
          <w:sz w:val="20"/>
          <w:szCs w:val="20"/>
        </w:rPr>
      </w:pPr>
      <w:r>
        <w:rPr>
          <w:rFonts w:ascii="Times New Roman" w:hAnsi="Times New Roman" w:cs="Times New Roman"/>
          <w:sz w:val="20"/>
          <w:szCs w:val="20"/>
        </w:rPr>
        <w:t>Balanced crystalline and amorphous regions are necessary to maintain ideal phase separation, supporting efficient charge transport and minimal recombination.</w:t>
      </w:r>
    </w:p>
    <w:p w14:paraId="7F6AEEC9">
      <w:pPr>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Absorption Properties:</w:t>
      </w:r>
    </w:p>
    <w:p w14:paraId="44577EF8">
      <w:pPr>
        <w:ind w:firstLine="400" w:firstLineChars="200"/>
        <w:rPr>
          <w:rFonts w:ascii="Times New Roman" w:hAnsi="Times New Roman" w:cs="Times New Roman"/>
          <w:sz w:val="20"/>
          <w:szCs w:val="20"/>
        </w:rPr>
      </w:pPr>
      <w:r>
        <w:rPr>
          <w:rFonts w:ascii="Times New Roman" w:hAnsi="Times New Roman" w:cs="Times New Roman"/>
          <w:sz w:val="20"/>
          <w:szCs w:val="20"/>
        </w:rPr>
        <w:t>A broad and strong absorption profile, particularly in the visible and near-infrared (NIR) region, should be incorporated to enhance light-harvesting efficiency.</w:t>
      </w:r>
    </w:p>
    <w:p w14:paraId="6BAEC3F0">
      <w:pPr>
        <w:ind w:firstLine="400" w:firstLineChars="200"/>
        <w:rPr>
          <w:rFonts w:ascii="Times New Roman" w:hAnsi="Times New Roman" w:cs="Times New Roman"/>
          <w:sz w:val="20"/>
          <w:szCs w:val="20"/>
        </w:rPr>
      </w:pPr>
      <w:r>
        <w:rPr>
          <w:rFonts w:ascii="Times New Roman" w:hAnsi="Times New Roman" w:cs="Times New Roman"/>
          <w:sz w:val="20"/>
          <w:szCs w:val="20"/>
        </w:rPr>
        <w:t>Adjusting the absorption onset for the widest possible spectral coverage while maintaining compatibility with acceptor materials is paramount.</w:t>
      </w:r>
    </w:p>
    <w:p w14:paraId="4B76756C">
      <w:pPr>
        <w:rPr>
          <w:rFonts w:ascii="Times New Roman" w:hAnsi="Times New Roman" w:cs="Times New Roman"/>
          <w:sz w:val="20"/>
          <w:szCs w:val="20"/>
        </w:rPr>
      </w:pPr>
      <w:r>
        <w:rPr>
          <w:rFonts w:hint="eastAsia" w:ascii="Times New Roman" w:hAnsi="Times New Roman" w:cs="Times New Roman"/>
          <w:sz w:val="20"/>
          <w:szCs w:val="20"/>
        </w:rPr>
        <w:t xml:space="preserve">4. </w:t>
      </w:r>
      <w:r>
        <w:rPr>
          <w:rFonts w:ascii="Times New Roman" w:hAnsi="Times New Roman" w:cs="Times New Roman"/>
          <w:sz w:val="20"/>
          <w:szCs w:val="20"/>
        </w:rPr>
        <w:t>Charge Mobility and Transport:</w:t>
      </w:r>
    </w:p>
    <w:p w14:paraId="1A8394CA">
      <w:pPr>
        <w:ind w:firstLine="400" w:firstLineChars="200"/>
        <w:rPr>
          <w:rFonts w:ascii="Times New Roman" w:hAnsi="Times New Roman" w:cs="Times New Roman"/>
          <w:sz w:val="20"/>
          <w:szCs w:val="20"/>
        </w:rPr>
      </w:pPr>
      <w:r>
        <w:rPr>
          <w:rFonts w:ascii="Times New Roman" w:hAnsi="Times New Roman" w:cs="Times New Roman"/>
          <w:sz w:val="20"/>
          <w:szCs w:val="20"/>
        </w:rPr>
        <w:t>Asymmetric donor molecules must demonstrate high charge mobility to ensure efficient extraction of photogenerated carriers.</w:t>
      </w:r>
    </w:p>
    <w:p w14:paraId="44EFDA15">
      <w:pPr>
        <w:ind w:firstLine="400" w:firstLineChars="200"/>
        <w:rPr>
          <w:rFonts w:ascii="Times New Roman" w:hAnsi="Times New Roman" w:cs="Times New Roman"/>
          <w:sz w:val="20"/>
          <w:szCs w:val="20"/>
        </w:rPr>
      </w:pPr>
      <w:r>
        <w:rPr>
          <w:rFonts w:ascii="Times New Roman" w:hAnsi="Times New Roman" w:cs="Times New Roman"/>
          <w:sz w:val="20"/>
          <w:szCs w:val="20"/>
        </w:rPr>
        <w:t>Extended conjugation and strategic incorporation of electron-donating or withdrawing units can facilitate directional charge transport.</w:t>
      </w:r>
    </w:p>
    <w:p w14:paraId="27E792F8">
      <w:pPr>
        <w:rPr>
          <w:rFonts w:ascii="Times New Roman" w:hAnsi="Times New Roman" w:cs="Times New Roman"/>
          <w:sz w:val="20"/>
          <w:szCs w:val="20"/>
        </w:rPr>
      </w:pPr>
      <w:r>
        <w:rPr>
          <w:rFonts w:hint="eastAsia" w:ascii="Times New Roman" w:hAnsi="Times New Roman" w:cs="Times New Roman"/>
          <w:sz w:val="20"/>
          <w:szCs w:val="20"/>
        </w:rPr>
        <w:t xml:space="preserve">5. </w:t>
      </w:r>
      <w:r>
        <w:rPr>
          <w:rFonts w:ascii="Times New Roman" w:hAnsi="Times New Roman" w:cs="Times New Roman"/>
          <w:sz w:val="20"/>
          <w:szCs w:val="20"/>
        </w:rPr>
        <w:t>Device Stability:</w:t>
      </w:r>
    </w:p>
    <w:p w14:paraId="79FDFAF9">
      <w:pPr>
        <w:ind w:firstLine="400" w:firstLineChars="200"/>
        <w:rPr>
          <w:rFonts w:ascii="Times New Roman" w:hAnsi="Times New Roman" w:cs="Times New Roman"/>
          <w:sz w:val="20"/>
          <w:szCs w:val="20"/>
        </w:rPr>
      </w:pPr>
      <w:r>
        <w:rPr>
          <w:rFonts w:ascii="Times New Roman" w:hAnsi="Times New Roman" w:cs="Times New Roman"/>
          <w:sz w:val="20"/>
          <w:szCs w:val="20"/>
        </w:rPr>
        <w:t>Stability under thermal, mechanical, and environmental conditions (oxygen, moisture, prolonged light exposure) is crucial for commercial longevity.</w:t>
      </w:r>
    </w:p>
    <w:p w14:paraId="1F921C38">
      <w:pPr>
        <w:ind w:firstLine="400" w:firstLineChars="200"/>
        <w:rPr>
          <w:rFonts w:ascii="Times New Roman" w:hAnsi="Times New Roman" w:cs="Times New Roman"/>
          <w:sz w:val="20"/>
          <w:szCs w:val="20"/>
        </w:rPr>
      </w:pPr>
      <w:r>
        <w:rPr>
          <w:rFonts w:ascii="Times New Roman" w:hAnsi="Times New Roman" w:cs="Times New Roman"/>
          <w:sz w:val="20"/>
          <w:szCs w:val="20"/>
        </w:rPr>
        <w:t>Chemical design must address degradation pathways, such as oxidation or phase instability, to enhance operational stability.</w:t>
      </w:r>
    </w:p>
    <w:p w14:paraId="209AD5D7">
      <w:pPr>
        <w:rPr>
          <w:rFonts w:ascii="Times New Roman" w:hAnsi="Times New Roman" w:cs="Times New Roman"/>
          <w:sz w:val="20"/>
          <w:szCs w:val="20"/>
        </w:rPr>
      </w:pPr>
      <w:r>
        <w:rPr>
          <w:rFonts w:hint="eastAsia" w:ascii="Times New Roman" w:hAnsi="Times New Roman" w:cs="Times New Roman"/>
          <w:sz w:val="20"/>
          <w:szCs w:val="20"/>
        </w:rPr>
        <w:t xml:space="preserve">6. </w:t>
      </w:r>
      <w:r>
        <w:rPr>
          <w:rFonts w:ascii="Times New Roman" w:hAnsi="Times New Roman" w:cs="Times New Roman"/>
          <w:sz w:val="20"/>
          <w:szCs w:val="20"/>
        </w:rPr>
        <w:t>Compatibility with Large-Scale Fabrication:</w:t>
      </w:r>
    </w:p>
    <w:p w14:paraId="6F0A695A">
      <w:pPr>
        <w:ind w:firstLine="400" w:firstLineChars="200"/>
        <w:rPr>
          <w:rFonts w:ascii="Times New Roman" w:hAnsi="Times New Roman" w:cs="Times New Roman"/>
          <w:sz w:val="20"/>
          <w:szCs w:val="20"/>
        </w:rPr>
      </w:pPr>
      <w:r>
        <w:rPr>
          <w:rFonts w:ascii="Times New Roman" w:hAnsi="Times New Roman" w:cs="Times New Roman"/>
          <w:sz w:val="20"/>
          <w:szCs w:val="20"/>
        </w:rPr>
        <w:t>Incorporating solution-processable asymmetric donors that are scalable for industrial production methods, such as roll-to-roll printing, is vital.</w:t>
      </w:r>
    </w:p>
    <w:p w14:paraId="7D789023">
      <w:pPr>
        <w:ind w:firstLine="400" w:firstLineChars="200"/>
        <w:rPr>
          <w:rFonts w:ascii="Times New Roman" w:hAnsi="Times New Roman" w:cs="Times New Roman"/>
          <w:sz w:val="20"/>
          <w:szCs w:val="20"/>
        </w:rPr>
      </w:pPr>
      <w:r>
        <w:rPr>
          <w:rFonts w:ascii="Times New Roman" w:hAnsi="Times New Roman" w:cs="Times New Roman"/>
          <w:sz w:val="20"/>
          <w:szCs w:val="20"/>
        </w:rPr>
        <w:t>Materials should demonstrate reproducibility and compatibility with low-cost manufacturing.</w:t>
      </w:r>
    </w:p>
    <w:p w14:paraId="1A823031">
      <w:pPr>
        <w:rPr>
          <w:rFonts w:ascii="Times New Roman" w:hAnsi="Times New Roman" w:cs="Times New Roman"/>
          <w:sz w:val="20"/>
          <w:szCs w:val="20"/>
        </w:rPr>
      </w:pPr>
      <w:r>
        <w:rPr>
          <w:rFonts w:hint="eastAsia" w:ascii="Times New Roman" w:hAnsi="Times New Roman" w:cs="Times New Roman"/>
          <w:sz w:val="20"/>
          <w:szCs w:val="20"/>
        </w:rPr>
        <w:t xml:space="preserve">7. </w:t>
      </w:r>
      <w:r>
        <w:rPr>
          <w:rFonts w:ascii="Times New Roman" w:hAnsi="Times New Roman" w:cs="Times New Roman"/>
          <w:sz w:val="20"/>
          <w:szCs w:val="20"/>
        </w:rPr>
        <w:t>Reduction of Energy Losses:</w:t>
      </w:r>
    </w:p>
    <w:p w14:paraId="0F7F88B1">
      <w:pPr>
        <w:ind w:firstLine="400" w:firstLineChars="200"/>
        <w:rPr>
          <w:rFonts w:ascii="Times New Roman" w:hAnsi="Times New Roman" w:cs="Times New Roman"/>
          <w:sz w:val="20"/>
          <w:szCs w:val="20"/>
        </w:rPr>
      </w:pPr>
      <w:r>
        <w:rPr>
          <w:rFonts w:ascii="Times New Roman" w:hAnsi="Times New Roman" w:cs="Times New Roman"/>
          <w:sz w:val="20"/>
          <w:szCs w:val="20"/>
        </w:rPr>
        <w:t>Designing asymmetric donors to minimize voltage and non-radiative recombination losses can significantly enhance power conversion efficiency (PCE).</w:t>
      </w:r>
    </w:p>
    <w:p w14:paraId="2AABAD51">
      <w:pPr>
        <w:ind w:firstLine="400" w:firstLineChars="200"/>
        <w:rPr>
          <w:rFonts w:ascii="Times New Roman" w:hAnsi="Times New Roman" w:cs="Times New Roman"/>
          <w:sz w:val="20"/>
          <w:szCs w:val="20"/>
        </w:rPr>
      </w:pPr>
      <w:r>
        <w:rPr>
          <w:rFonts w:ascii="Times New Roman" w:hAnsi="Times New Roman" w:cs="Times New Roman"/>
          <w:sz w:val="20"/>
          <w:szCs w:val="20"/>
        </w:rPr>
        <w:t>Strategies include reducing energetic disorder in the active layer and optimizing charge separation processes.</w:t>
      </w:r>
    </w:p>
    <w:p w14:paraId="79DB3047">
      <w:pPr>
        <w:rPr>
          <w:rFonts w:ascii="Times New Roman" w:hAnsi="Times New Roman" w:cs="Times New Roman"/>
          <w:sz w:val="20"/>
          <w:szCs w:val="20"/>
        </w:rPr>
      </w:pPr>
      <w:r>
        <w:rPr>
          <w:rFonts w:hint="eastAsia" w:ascii="Times New Roman" w:hAnsi="Times New Roman" w:cs="Times New Roman"/>
          <w:sz w:val="20"/>
          <w:szCs w:val="20"/>
        </w:rPr>
        <w:t xml:space="preserve">8. </w:t>
      </w:r>
      <w:r>
        <w:rPr>
          <w:rFonts w:ascii="Times New Roman" w:hAnsi="Times New Roman" w:cs="Times New Roman"/>
          <w:sz w:val="20"/>
          <w:szCs w:val="20"/>
        </w:rPr>
        <w:t>Cost-Effectiveness and Sustainability:</w:t>
      </w:r>
    </w:p>
    <w:p w14:paraId="68D81BB6">
      <w:pPr>
        <w:ind w:firstLine="400" w:firstLineChars="200"/>
        <w:rPr>
          <w:rFonts w:ascii="Times New Roman" w:hAnsi="Times New Roman" w:cs="Times New Roman"/>
          <w:sz w:val="20"/>
          <w:szCs w:val="20"/>
        </w:rPr>
      </w:pPr>
      <w:r>
        <w:rPr>
          <w:rFonts w:ascii="Times New Roman" w:hAnsi="Times New Roman" w:cs="Times New Roman"/>
          <w:sz w:val="20"/>
          <w:szCs w:val="20"/>
        </w:rPr>
        <w:t>Raw materials for synthesizing asymmetric donors should be abundant, affordable, and environmentally friendly to allow for commercial viability.</w:t>
      </w:r>
    </w:p>
    <w:p w14:paraId="72DADD91">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Synthesis routes need to focus on simplicity and yield optimization.</w:t>
      </w:r>
    </w:p>
    <w:p w14:paraId="199B6304">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Addressing these key issues collectively can improve the efficiency, stability, and scalability of asy-OSCs, accelerating their path toward commercial viability.</w:t>
      </w:r>
    </w:p>
    <w:p w14:paraId="0AD1C44B">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2856A5B5">
      <w:pPr>
        <w:ind w:firstLine="400" w:firstLineChars="200"/>
        <w:rPr>
          <w:rFonts w:ascii="Times New Roman" w:hAnsi="Times New Roman" w:cs="Times New Roman"/>
          <w:sz w:val="20"/>
          <w:szCs w:val="20"/>
        </w:rPr>
      </w:pPr>
      <w:r>
        <w:rPr>
          <w:rFonts w:hint="eastAsia" w:ascii="Times New Roman" w:hAnsi="Times New Roman" w:cs="Times New Roman"/>
          <w:sz w:val="20"/>
          <w:szCs w:val="20"/>
        </w:rPr>
        <w:t>When designing asymmetric donors for commercial application in asymmetric organic solar cells (asy-OSCs), several key issues must be considered:</w:t>
      </w:r>
    </w:p>
    <w:p w14:paraId="7907E989">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Molecular Structure: The design of the donor molecule should ensure optimal absorption of sunlight and efficient charge transport. Asymmetric structures can help in tuning the energy levels and improving the photovoltaic performance.</w:t>
      </w:r>
    </w:p>
    <w:p w14:paraId="3FBAD32D">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Energy Levels: The highest occupied molecular orbital (HOMO) and lowest unoccupied molecular orbital (LUMO) levels must be carefully controlled to ensure efficient charge separation and transport. The HOMO level should be high enough to ensure good hole transport, while the LUMO level should be low enough to facilitate electron transport.</w:t>
      </w:r>
    </w:p>
    <w:p w14:paraId="280C0FCD">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Synthetic Accessibility: The donor molecules should be synthetically accessible and cost-effective to produce on a large scale. This includes considering the availability of starting materials and the complexity of the synthetic route.</w:t>
      </w:r>
    </w:p>
    <w:p w14:paraId="41FD2601">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Stability: The chemical and thermal stability of the donor materials is crucial for the longevity and reliability of the solar cells. The materials should be stable under operational conditions, including exposure to light, heat, and oxygen.</w:t>
      </w:r>
    </w:p>
    <w:p w14:paraId="69A2C68C">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Morphology Control: The morphology of the active layer, including the phase separation between the donor and acceptor materials, plays a significant role in the performance of the solar cells. Proper control over the morphology can enhance charge separation and transport.</w:t>
      </w:r>
    </w:p>
    <w:p w14:paraId="73269E8A">
      <w:pPr>
        <w:ind w:firstLine="400" w:firstLineChars="200"/>
        <w:rPr>
          <w:rFonts w:ascii="Times New Roman" w:hAnsi="Times New Roman" w:cs="Times New Roman"/>
          <w:sz w:val="20"/>
          <w:szCs w:val="20"/>
        </w:rPr>
      </w:pPr>
      <w:r>
        <w:rPr>
          <w:rFonts w:hint="eastAsia" w:ascii="Times New Roman" w:hAnsi="Times New Roman" w:cs="Times New Roman"/>
          <w:sz w:val="20"/>
          <w:szCs w:val="20"/>
        </w:rPr>
        <w:t>6. Compatibility with Acceptors: The donor materials should be compatible with the acceptor materials to form a well-mixed blend with optimal nanoscale morphology. This ensures efficient exciton dissociation and charge transport.</w:t>
      </w:r>
    </w:p>
    <w:p w14:paraId="0AF91CEA">
      <w:pPr>
        <w:ind w:firstLine="400" w:firstLineChars="200"/>
        <w:rPr>
          <w:rFonts w:ascii="Times New Roman" w:hAnsi="Times New Roman" w:cs="Times New Roman"/>
          <w:sz w:val="20"/>
          <w:szCs w:val="20"/>
        </w:rPr>
      </w:pPr>
      <w:r>
        <w:rPr>
          <w:rFonts w:hint="eastAsia" w:ascii="Times New Roman" w:hAnsi="Times New Roman" w:cs="Times New Roman"/>
          <w:sz w:val="20"/>
          <w:szCs w:val="20"/>
        </w:rPr>
        <w:t>7. Environmental Impact: The environmental impact of the materials and the manufacturing process should be considered. The use of non-toxic and environmentally friendly materials is preferred for commercial applications.</w:t>
      </w:r>
    </w:p>
    <w:p w14:paraId="6D8E7903">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8. Scalability: The materials and processes should be scalable for mass production. This includes considering the ease of processing, such as solution processability and the ability to form uniform films over large areas.</w:t>
      </w:r>
    </w:p>
    <w:p w14:paraId="204C3FD0">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By addressing these key issues, researchers and manufacturers can develop high-performance asymmetric donors that are suitable for commercial applications in organic solar cells.</w:t>
      </w:r>
    </w:p>
    <w:p w14:paraId="223784C1">
      <w:pPr>
        <w:pStyle w:val="31"/>
        <w:numPr>
          <w:ilvl w:val="0"/>
          <w:numId w:val="2"/>
        </w:numPr>
        <w:ind w:left="363" w:hanging="363"/>
        <w:outlineLvl w:val="0"/>
        <w:rPr>
          <w:rFonts w:ascii="Times New Roman" w:hAnsi="Times New Roman" w:cs="Times New Roman"/>
          <w:b/>
          <w:bCs/>
          <w:color w:val="2E75B6" w:themeColor="accent5" w:themeShade="BF"/>
          <w:szCs w:val="21"/>
        </w:rPr>
      </w:pPr>
      <w:r>
        <w:rPr>
          <w:rFonts w:ascii="Times New Roman" w:hAnsi="Times New Roman" w:cs="Times New Roman"/>
          <w:b/>
          <w:bCs/>
          <w:color w:val="2E75B6" w:themeColor="accent5" w:themeShade="BF"/>
          <w:szCs w:val="21"/>
        </w:rPr>
        <w:t>Structures, properties and application of benzodithiophene derivatives</w:t>
      </w:r>
    </w:p>
    <w:p w14:paraId="59395CCA">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A:</w:t>
      </w:r>
    </w:p>
    <w:p w14:paraId="4F33776F">
      <w:pPr>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Structures</w:t>
      </w:r>
    </w:p>
    <w:p w14:paraId="0479B97D">
      <w:pPr>
        <w:ind w:firstLine="400" w:firstLineChars="200"/>
        <w:rPr>
          <w:rFonts w:ascii="Times New Roman" w:hAnsi="Times New Roman" w:cs="Times New Roman"/>
          <w:sz w:val="20"/>
          <w:szCs w:val="20"/>
        </w:rPr>
      </w:pPr>
      <w:r>
        <w:rPr>
          <w:rFonts w:ascii="Times New Roman" w:hAnsi="Times New Roman" w:cs="Times New Roman"/>
          <w:sz w:val="20"/>
          <w:szCs w:val="20"/>
        </w:rPr>
        <w:t>Benzodithiophene (BDT) derivatives are conjugated aromatic compounds with a central benzene ring fused to two thiophene units. BDT derivatives can be functionalized at various positions (e.g., side chains, core modifications) to tune their electronic and physical properties. Common structures include:</w:t>
      </w:r>
    </w:p>
    <w:p w14:paraId="4CCDB3EC">
      <w:pPr>
        <w:ind w:firstLine="400"/>
        <w:rPr>
          <w:rFonts w:ascii="Times New Roman" w:hAnsi="Times New Roman" w:cs="Times New Roman"/>
          <w:sz w:val="20"/>
          <w:szCs w:val="20"/>
        </w:rPr>
      </w:pPr>
      <w:r>
        <w:rPr>
          <w:rFonts w:hint="eastAsia" w:ascii="Times New Roman" w:hAnsi="Times New Roman" w:cs="Times New Roman"/>
          <w:sz w:val="20"/>
          <w:szCs w:val="20"/>
        </w:rPr>
        <w:t>(1</w:t>
      </w:r>
      <w:r>
        <w:rPr>
          <w:rFonts w:ascii="Times New Roman" w:hAnsi="Times New Roman" w:cs="Times New Roman"/>
          <w:sz w:val="20"/>
          <w:szCs w:val="20"/>
        </w:rPr>
        <w:t>) Core-alkylated BDT: Improves solubility and processability.</w:t>
      </w:r>
    </w:p>
    <w:p w14:paraId="0A7C3177">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Electron-donating/withdrawing groups: Modulate energy levels and charge transport.</w:t>
      </w:r>
    </w:p>
    <w:p w14:paraId="598255B4">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Planarized BDT: Enhances π-π stacking for better charge mobility.</w:t>
      </w:r>
    </w:p>
    <w:p w14:paraId="2D5AFA57">
      <w:pPr>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Properties</w:t>
      </w:r>
    </w:p>
    <w:p w14:paraId="1642A377">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Electronic Properties:</w:t>
      </w:r>
    </w:p>
    <w:p w14:paraId="1585C721">
      <w:pPr>
        <w:ind w:firstLine="400" w:firstLineChars="200"/>
        <w:rPr>
          <w:rFonts w:ascii="Times New Roman" w:hAnsi="Times New Roman" w:cs="Times New Roman"/>
          <w:sz w:val="20"/>
          <w:szCs w:val="20"/>
        </w:rPr>
      </w:pPr>
      <w:r>
        <w:rPr>
          <w:rFonts w:ascii="Times New Roman" w:hAnsi="Times New Roman" w:cs="Times New Roman"/>
          <w:sz w:val="20"/>
          <w:szCs w:val="20"/>
        </w:rPr>
        <w:t>Strong electron-donating ability.</w:t>
      </w:r>
    </w:p>
    <w:p w14:paraId="4834E79F">
      <w:pPr>
        <w:ind w:firstLine="400" w:firstLineChars="200"/>
        <w:rPr>
          <w:rFonts w:ascii="Times New Roman" w:hAnsi="Times New Roman" w:cs="Times New Roman"/>
          <w:sz w:val="20"/>
          <w:szCs w:val="20"/>
        </w:rPr>
      </w:pPr>
      <w:r>
        <w:rPr>
          <w:rFonts w:ascii="Times New Roman" w:hAnsi="Times New Roman" w:cs="Times New Roman"/>
          <w:sz w:val="20"/>
          <w:szCs w:val="20"/>
        </w:rPr>
        <w:t>Tunable HOMO/LUMO levels for energy alignment in donor-acceptor systems.</w:t>
      </w:r>
    </w:p>
    <w:p w14:paraId="04416637">
      <w:pPr>
        <w:ind w:firstLine="400" w:firstLineChars="200"/>
        <w:rPr>
          <w:rFonts w:ascii="Times New Roman" w:hAnsi="Times New Roman" w:cs="Times New Roman"/>
          <w:sz w:val="20"/>
          <w:szCs w:val="20"/>
        </w:rPr>
      </w:pPr>
      <w:r>
        <w:rPr>
          <w:rFonts w:ascii="Times New Roman" w:hAnsi="Times New Roman" w:cs="Times New Roman"/>
          <w:sz w:val="20"/>
          <w:szCs w:val="20"/>
        </w:rPr>
        <w:t>Broad absorption in the visible and near-infrared regions.</w:t>
      </w:r>
    </w:p>
    <w:p w14:paraId="5BFAEDFF">
      <w:pPr>
        <w:ind w:firstLine="400" w:firstLineChars="200"/>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Morphological Properties:</w:t>
      </w:r>
    </w:p>
    <w:p w14:paraId="44893B4F">
      <w:pPr>
        <w:ind w:firstLine="400" w:firstLineChars="200"/>
        <w:rPr>
          <w:rFonts w:ascii="Times New Roman" w:hAnsi="Times New Roman" w:cs="Times New Roman"/>
          <w:sz w:val="20"/>
          <w:szCs w:val="20"/>
        </w:rPr>
      </w:pPr>
      <w:r>
        <w:rPr>
          <w:rFonts w:ascii="Times New Roman" w:hAnsi="Times New Roman" w:cs="Times New Roman"/>
          <w:sz w:val="20"/>
          <w:szCs w:val="20"/>
        </w:rPr>
        <w:t>Planar structure supports good molecular packing and π-π stacking.</w:t>
      </w:r>
    </w:p>
    <w:p w14:paraId="42A1A1A4">
      <w:pPr>
        <w:ind w:firstLine="400" w:firstLineChars="200"/>
        <w:rPr>
          <w:rFonts w:ascii="Times New Roman" w:hAnsi="Times New Roman" w:cs="Times New Roman"/>
          <w:sz w:val="20"/>
          <w:szCs w:val="20"/>
        </w:rPr>
      </w:pPr>
      <w:r>
        <w:rPr>
          <w:rFonts w:ascii="Times New Roman" w:hAnsi="Times New Roman" w:cs="Times New Roman"/>
          <w:sz w:val="20"/>
          <w:szCs w:val="20"/>
        </w:rPr>
        <w:t>Side-chain engineering enhances solubility and blend morphology.</w:t>
      </w:r>
    </w:p>
    <w:p w14:paraId="4DC2EB3E">
      <w:pPr>
        <w:ind w:firstLine="400" w:firstLineChars="200"/>
        <w:rPr>
          <w:rFonts w:ascii="Times New Roman" w:hAnsi="Times New Roman" w:cs="Times New Roman"/>
          <w:sz w:val="20"/>
          <w:szCs w:val="20"/>
        </w:rPr>
      </w:pPr>
      <w:r>
        <w:rPr>
          <w:rFonts w:hint="eastAsia" w:ascii="Times New Roman" w:hAnsi="Times New Roman" w:cs="Times New Roman"/>
          <w:sz w:val="20"/>
          <w:szCs w:val="20"/>
        </w:rPr>
        <w:t>(3)</w:t>
      </w:r>
      <w:r>
        <w:rPr>
          <w:rFonts w:ascii="Times New Roman" w:hAnsi="Times New Roman" w:cs="Times New Roman"/>
          <w:sz w:val="20"/>
          <w:szCs w:val="20"/>
        </w:rPr>
        <w:t xml:space="preserve"> Thermal and Photochemical Stability:</w:t>
      </w:r>
    </w:p>
    <w:p w14:paraId="3D303E85">
      <w:pPr>
        <w:ind w:firstLine="400" w:firstLineChars="200"/>
        <w:rPr>
          <w:rFonts w:ascii="Times New Roman" w:hAnsi="Times New Roman" w:cs="Times New Roman"/>
          <w:sz w:val="20"/>
          <w:szCs w:val="20"/>
        </w:rPr>
      </w:pPr>
      <w:r>
        <w:rPr>
          <w:rFonts w:ascii="Times New Roman" w:hAnsi="Times New Roman" w:cs="Times New Roman"/>
          <w:sz w:val="20"/>
          <w:szCs w:val="20"/>
        </w:rPr>
        <w:t>High stability due to the rigid and fused aromatic structure.</w:t>
      </w:r>
    </w:p>
    <w:p w14:paraId="1B146E0A">
      <w:pPr>
        <w:rPr>
          <w:rFonts w:ascii="Times New Roman" w:hAnsi="Times New Roman" w:cs="Times New Roman"/>
          <w:sz w:val="20"/>
          <w:szCs w:val="20"/>
        </w:rPr>
      </w:pPr>
      <w:r>
        <w:rPr>
          <w:rFonts w:hint="eastAsia" w:ascii="Times New Roman" w:hAnsi="Times New Roman" w:cs="Times New Roman"/>
          <w:sz w:val="20"/>
          <w:szCs w:val="20"/>
        </w:rPr>
        <w:t>3.</w:t>
      </w:r>
      <w:r>
        <w:rPr>
          <w:rFonts w:ascii="Times New Roman" w:hAnsi="Times New Roman" w:cs="Times New Roman"/>
          <w:sz w:val="20"/>
          <w:szCs w:val="20"/>
        </w:rPr>
        <w:t xml:space="preserve"> Applications</w:t>
      </w:r>
    </w:p>
    <w:p w14:paraId="79CE29DB">
      <w:pPr>
        <w:ind w:firstLine="400" w:firstLineChars="200"/>
        <w:rPr>
          <w:rFonts w:ascii="Times New Roman" w:hAnsi="Times New Roman" w:cs="Times New Roman"/>
          <w:sz w:val="20"/>
          <w:szCs w:val="20"/>
        </w:rPr>
      </w:pPr>
      <w:r>
        <w:rPr>
          <w:rFonts w:hint="eastAsia" w:ascii="Times New Roman" w:hAnsi="Times New Roman" w:cs="Times New Roman"/>
          <w:sz w:val="20"/>
          <w:szCs w:val="20"/>
        </w:rPr>
        <w:t>(1)</w:t>
      </w:r>
      <w:r>
        <w:rPr>
          <w:rFonts w:ascii="Times New Roman" w:hAnsi="Times New Roman" w:cs="Times New Roman"/>
          <w:sz w:val="20"/>
          <w:szCs w:val="20"/>
        </w:rPr>
        <w:t xml:space="preserve"> Organic Solar Cells (OSCs):</w:t>
      </w:r>
    </w:p>
    <w:p w14:paraId="7528A78C">
      <w:pPr>
        <w:ind w:firstLine="400" w:firstLineChars="200"/>
        <w:rPr>
          <w:rFonts w:ascii="Times New Roman" w:hAnsi="Times New Roman" w:cs="Times New Roman"/>
          <w:sz w:val="20"/>
          <w:szCs w:val="20"/>
        </w:rPr>
      </w:pPr>
      <w:r>
        <w:rPr>
          <w:rFonts w:ascii="Times New Roman" w:hAnsi="Times New Roman" w:cs="Times New Roman"/>
          <w:sz w:val="20"/>
          <w:szCs w:val="20"/>
        </w:rPr>
        <w:t>Widely used in donor materials for high-efficiency OSCs, often paired with non-fullerene acceptors.</w:t>
      </w:r>
    </w:p>
    <w:p w14:paraId="1A610B41">
      <w:pPr>
        <w:ind w:firstLine="400" w:firstLineChars="200"/>
        <w:rPr>
          <w:rFonts w:ascii="Times New Roman" w:hAnsi="Times New Roman" w:cs="Times New Roman"/>
          <w:sz w:val="20"/>
          <w:szCs w:val="20"/>
        </w:rPr>
      </w:pPr>
      <w:r>
        <w:rPr>
          <w:rFonts w:ascii="Times New Roman" w:hAnsi="Times New Roman" w:cs="Times New Roman"/>
          <w:sz w:val="20"/>
          <w:szCs w:val="20"/>
        </w:rPr>
        <w:t>Example: PM6 (a BDT-based polymer donor) achieves &gt;18% PCE.</w:t>
      </w:r>
    </w:p>
    <w:p w14:paraId="10039DBB">
      <w:pPr>
        <w:ind w:firstLine="400" w:firstLineChars="200"/>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Organic Field-Effect Transistors (OFETs):</w:t>
      </w:r>
      <w:r>
        <w:rPr>
          <w:rFonts w:hint="eastAsia" w:ascii="Times New Roman" w:hAnsi="Times New Roman" w:cs="Times New Roman"/>
          <w:sz w:val="20"/>
          <w:szCs w:val="20"/>
        </w:rPr>
        <w:t xml:space="preserve"> </w:t>
      </w:r>
      <w:r>
        <w:rPr>
          <w:rFonts w:ascii="Times New Roman" w:hAnsi="Times New Roman" w:cs="Times New Roman"/>
          <w:sz w:val="20"/>
          <w:szCs w:val="20"/>
        </w:rPr>
        <w:t>Utilized in semiconducting polymers for high charge mobility.</w:t>
      </w:r>
    </w:p>
    <w:p w14:paraId="470FC468">
      <w:pPr>
        <w:ind w:firstLine="400" w:firstLineChars="200"/>
        <w:rPr>
          <w:rFonts w:ascii="Times New Roman" w:hAnsi="Times New Roman" w:cs="Times New Roman"/>
          <w:sz w:val="20"/>
          <w:szCs w:val="20"/>
        </w:rPr>
      </w:pPr>
      <w:r>
        <w:rPr>
          <w:rFonts w:hint="eastAsia" w:ascii="Times New Roman" w:hAnsi="Times New Roman" w:cs="Times New Roman"/>
          <w:sz w:val="20"/>
          <w:szCs w:val="20"/>
        </w:rPr>
        <w:t>(3)</w:t>
      </w:r>
      <w:r>
        <w:rPr>
          <w:rFonts w:ascii="Times New Roman" w:hAnsi="Times New Roman" w:cs="Times New Roman"/>
          <w:sz w:val="20"/>
          <w:szCs w:val="20"/>
        </w:rPr>
        <w:t xml:space="preserve"> Light-Emitting Diodes (OLEDs):</w:t>
      </w:r>
      <w:r>
        <w:rPr>
          <w:rFonts w:hint="eastAsia" w:ascii="Times New Roman" w:hAnsi="Times New Roman" w:cs="Times New Roman"/>
          <w:sz w:val="20"/>
          <w:szCs w:val="20"/>
        </w:rPr>
        <w:t xml:space="preserve"> </w:t>
      </w:r>
      <w:r>
        <w:rPr>
          <w:rFonts w:ascii="Times New Roman" w:hAnsi="Times New Roman" w:cs="Times New Roman"/>
          <w:sz w:val="20"/>
          <w:szCs w:val="20"/>
        </w:rPr>
        <w:t>Incorporated in emissive layers for tuning light emission properties.</w:t>
      </w:r>
    </w:p>
    <w:p w14:paraId="34D9B803">
      <w:pPr>
        <w:ind w:firstLine="400" w:firstLineChars="200"/>
        <w:rPr>
          <w:rFonts w:ascii="Times New Roman" w:hAnsi="Times New Roman" w:cs="Times New Roman"/>
          <w:sz w:val="20"/>
          <w:szCs w:val="20"/>
        </w:rPr>
      </w:pPr>
      <w:r>
        <w:rPr>
          <w:rFonts w:hint="eastAsia" w:ascii="Times New Roman" w:hAnsi="Times New Roman" w:cs="Times New Roman"/>
          <w:sz w:val="20"/>
          <w:szCs w:val="20"/>
        </w:rPr>
        <w:t>(4)</w:t>
      </w:r>
      <w:r>
        <w:rPr>
          <w:rFonts w:ascii="Times New Roman" w:hAnsi="Times New Roman" w:cs="Times New Roman"/>
          <w:sz w:val="20"/>
          <w:szCs w:val="20"/>
        </w:rPr>
        <w:t xml:space="preserve"> Sensors:</w:t>
      </w:r>
      <w:r>
        <w:rPr>
          <w:rFonts w:hint="eastAsia" w:ascii="Times New Roman" w:hAnsi="Times New Roman" w:cs="Times New Roman"/>
          <w:sz w:val="20"/>
          <w:szCs w:val="20"/>
        </w:rPr>
        <w:t xml:space="preserve"> </w:t>
      </w:r>
      <w:r>
        <w:rPr>
          <w:rFonts w:ascii="Times New Roman" w:hAnsi="Times New Roman" w:cs="Times New Roman"/>
          <w:sz w:val="20"/>
          <w:szCs w:val="20"/>
        </w:rPr>
        <w:t>Used in optoelectronic sensors due to their strong light absorption and charge transport.</w:t>
      </w:r>
    </w:p>
    <w:p w14:paraId="318F0E39">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BDT derivatives are key building blocks in organic electronics due to their versatile tunability and excellent optoelectronic properties.</w:t>
      </w:r>
    </w:p>
    <w:p w14:paraId="2EEF2BDC">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B:</w:t>
      </w:r>
    </w:p>
    <w:p w14:paraId="149D5A92">
      <w:pPr>
        <w:rPr>
          <w:rFonts w:ascii="Times New Roman" w:hAnsi="Times New Roman" w:cs="Times New Roman"/>
          <w:sz w:val="20"/>
          <w:szCs w:val="20"/>
        </w:rPr>
      </w:pPr>
      <w:r>
        <w:rPr>
          <w:rFonts w:hint="eastAsia" w:ascii="Times New Roman" w:hAnsi="Times New Roman" w:cs="Times New Roman"/>
          <w:sz w:val="20"/>
          <w:szCs w:val="20"/>
        </w:rPr>
        <w:t>1.</w:t>
      </w:r>
      <w:r>
        <w:rPr>
          <w:rFonts w:ascii="Times New Roman" w:hAnsi="Times New Roman" w:cs="Times New Roman"/>
          <w:sz w:val="20"/>
          <w:szCs w:val="20"/>
        </w:rPr>
        <w:t xml:space="preserve"> Structures:</w:t>
      </w:r>
    </w:p>
    <w:p w14:paraId="73A848C3">
      <w:pPr>
        <w:ind w:firstLine="400" w:firstLineChars="200"/>
        <w:rPr>
          <w:rFonts w:ascii="Times New Roman" w:hAnsi="Times New Roman" w:cs="Times New Roman"/>
          <w:sz w:val="20"/>
          <w:szCs w:val="20"/>
        </w:rPr>
      </w:pPr>
      <w:r>
        <w:rPr>
          <w:rFonts w:hint="eastAsia" w:ascii="Times New Roman" w:hAnsi="Times New Roman" w:cs="Times New Roman"/>
          <w:sz w:val="20"/>
          <w:szCs w:val="20"/>
        </w:rPr>
        <w:t>(1)</w:t>
      </w:r>
      <w:r>
        <w:rPr>
          <w:rFonts w:ascii="Times New Roman" w:hAnsi="Times New Roman" w:cs="Times New Roman"/>
          <w:sz w:val="20"/>
          <w:szCs w:val="20"/>
        </w:rPr>
        <w:t xml:space="preserve"> Core Framework: Benzodithiophene (BDT) is a planar, conjugated molecule characterized by two fused thiophene rings and an aromatic benzene ring at the center.</w:t>
      </w:r>
    </w:p>
    <w:p w14:paraId="19FC43BF">
      <w:pPr>
        <w:ind w:firstLine="400" w:firstLineChars="200"/>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Substituent Variations: </w:t>
      </w:r>
    </w:p>
    <w:p w14:paraId="7DBFC73B">
      <w:pPr>
        <w:ind w:firstLine="400" w:firstLineChars="200"/>
        <w:rPr>
          <w:rFonts w:ascii="Times New Roman" w:hAnsi="Times New Roman" w:cs="Times New Roman"/>
          <w:sz w:val="20"/>
          <w:szCs w:val="20"/>
        </w:rPr>
      </w:pPr>
      <w:r>
        <w:rPr>
          <w:rFonts w:ascii="Times New Roman" w:hAnsi="Times New Roman" w:cs="Times New Roman"/>
          <w:sz w:val="20"/>
          <w:szCs w:val="20"/>
        </w:rPr>
        <w:t>BDT derivatives are structurally modified by introducing substituents at its active sites.</w:t>
      </w:r>
    </w:p>
    <w:p w14:paraId="414B2243">
      <w:pPr>
        <w:ind w:firstLine="400" w:firstLineChars="200"/>
        <w:rPr>
          <w:rFonts w:ascii="Times New Roman" w:hAnsi="Times New Roman" w:cs="Times New Roman"/>
          <w:sz w:val="20"/>
          <w:szCs w:val="20"/>
        </w:rPr>
      </w:pPr>
      <w:r>
        <w:rPr>
          <w:rFonts w:ascii="Times New Roman" w:hAnsi="Times New Roman" w:cs="Times New Roman"/>
          <w:sz w:val="20"/>
          <w:szCs w:val="20"/>
        </w:rPr>
        <w:t>These substitutions include both one-dimensional (1D-BDT) and two-dimensional (2D-BDT) side chains.</w:t>
      </w:r>
    </w:p>
    <w:p w14:paraId="7A6E39AE">
      <w:pPr>
        <w:ind w:firstLine="400" w:firstLineChars="200"/>
        <w:rPr>
          <w:rFonts w:ascii="Times New Roman" w:hAnsi="Times New Roman" w:cs="Times New Roman"/>
          <w:sz w:val="20"/>
          <w:szCs w:val="20"/>
        </w:rPr>
      </w:pPr>
      <w:r>
        <w:rPr>
          <w:rFonts w:hint="eastAsia" w:ascii="Times New Roman" w:hAnsi="Times New Roman" w:cs="Times New Roman"/>
          <w:sz w:val="20"/>
          <w:szCs w:val="20"/>
        </w:rPr>
        <w:t>(3)</w:t>
      </w:r>
      <w:r>
        <w:rPr>
          <w:rFonts w:ascii="Times New Roman" w:hAnsi="Times New Roman" w:cs="Times New Roman"/>
          <w:sz w:val="20"/>
          <w:szCs w:val="20"/>
        </w:rPr>
        <w:t xml:space="preserve"> 1D-BDT: Substituents like alkyl, alkoxy, and alkylthio groups.</w:t>
      </w:r>
    </w:p>
    <w:p w14:paraId="4C1C83B3">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(4) </w:t>
      </w:r>
      <w:r>
        <w:rPr>
          <w:rFonts w:ascii="Times New Roman" w:hAnsi="Times New Roman" w:cs="Times New Roman"/>
          <w:sz w:val="20"/>
          <w:szCs w:val="20"/>
        </w:rPr>
        <w:t>2D-BDT: Larger, conjugated substituents such as alkylphenyl, alkoxyphenyl, and naphthyl groups.</w:t>
      </w:r>
    </w:p>
    <w:p w14:paraId="7CF55625">
      <w:pPr>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Properties:</w:t>
      </w:r>
    </w:p>
    <w:p w14:paraId="6AF6CDC3">
      <w:pPr>
        <w:ind w:firstLine="400" w:firstLineChars="200"/>
        <w:rPr>
          <w:rFonts w:ascii="Times New Roman" w:hAnsi="Times New Roman" w:cs="Times New Roman"/>
          <w:sz w:val="20"/>
          <w:szCs w:val="20"/>
        </w:rPr>
      </w:pPr>
      <w:r>
        <w:rPr>
          <w:rFonts w:hint="eastAsia" w:ascii="Times New Roman" w:hAnsi="Times New Roman" w:cs="Times New Roman"/>
          <w:sz w:val="20"/>
          <w:szCs w:val="20"/>
        </w:rPr>
        <w:t>(1)</w:t>
      </w:r>
      <w:r>
        <w:rPr>
          <w:rFonts w:ascii="Times New Roman" w:hAnsi="Times New Roman" w:cs="Times New Roman"/>
          <w:sz w:val="20"/>
          <w:szCs w:val="20"/>
        </w:rPr>
        <w:t xml:space="preserve"> Key Characteristics of BDT:</w:t>
      </w:r>
    </w:p>
    <w:p w14:paraId="1940A9A7">
      <w:pPr>
        <w:ind w:firstLine="400" w:firstLineChars="200"/>
        <w:rPr>
          <w:rFonts w:ascii="Times New Roman" w:hAnsi="Times New Roman" w:cs="Times New Roman"/>
          <w:sz w:val="20"/>
          <w:szCs w:val="20"/>
        </w:rPr>
      </w:pPr>
      <w:r>
        <w:rPr>
          <w:rFonts w:ascii="Times New Roman" w:hAnsi="Times New Roman" w:cs="Times New Roman"/>
          <w:sz w:val="20"/>
          <w:szCs w:val="20"/>
        </w:rPr>
        <w:t>High π</w:t>
      </w:r>
      <w:r>
        <w:rPr>
          <w:rFonts w:hint="eastAsia" w:ascii="Times New Roman" w:hAnsi="Times New Roman" w:cs="Times New Roman"/>
          <w:sz w:val="20"/>
          <w:szCs w:val="20"/>
        </w:rPr>
        <w:t>-</w:t>
      </w:r>
      <w:r>
        <w:rPr>
          <w:rFonts w:ascii="Times New Roman" w:hAnsi="Times New Roman" w:cs="Times New Roman"/>
          <w:sz w:val="20"/>
          <w:szCs w:val="20"/>
        </w:rPr>
        <w:t>π stacking capacity due to its planar structure.</w:t>
      </w:r>
    </w:p>
    <w:p w14:paraId="60B9303A">
      <w:pPr>
        <w:ind w:firstLine="400" w:firstLineChars="200"/>
        <w:rPr>
          <w:rFonts w:ascii="Times New Roman" w:hAnsi="Times New Roman" w:cs="Times New Roman"/>
          <w:sz w:val="20"/>
          <w:szCs w:val="20"/>
        </w:rPr>
      </w:pPr>
      <w:r>
        <w:rPr>
          <w:rFonts w:ascii="Times New Roman" w:hAnsi="Times New Roman" w:cs="Times New Roman"/>
          <w:sz w:val="20"/>
          <w:szCs w:val="20"/>
        </w:rPr>
        <w:t>Excellent hole mobility for charge transport.</w:t>
      </w:r>
    </w:p>
    <w:p w14:paraId="3B7C02A1">
      <w:pPr>
        <w:ind w:firstLine="400" w:firstLineChars="200"/>
        <w:rPr>
          <w:rFonts w:ascii="Times New Roman" w:hAnsi="Times New Roman" w:cs="Times New Roman"/>
          <w:sz w:val="20"/>
          <w:szCs w:val="20"/>
        </w:rPr>
      </w:pPr>
      <w:r>
        <w:rPr>
          <w:rFonts w:ascii="Times New Roman" w:hAnsi="Times New Roman" w:cs="Times New Roman"/>
          <w:sz w:val="20"/>
          <w:szCs w:val="20"/>
        </w:rPr>
        <w:t>Ease of synthesis and structural modification.</w:t>
      </w:r>
    </w:p>
    <w:p w14:paraId="1F7DA100">
      <w:pPr>
        <w:ind w:firstLine="400" w:firstLineChars="200"/>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1D-BDT Properties:</w:t>
      </w:r>
    </w:p>
    <w:p w14:paraId="31962D8E">
      <w:pPr>
        <w:ind w:firstLine="400" w:firstLineChars="200"/>
        <w:rPr>
          <w:rFonts w:ascii="Times New Roman" w:hAnsi="Times New Roman" w:cs="Times New Roman"/>
          <w:sz w:val="20"/>
          <w:szCs w:val="20"/>
        </w:rPr>
      </w:pPr>
      <w:r>
        <w:rPr>
          <w:rFonts w:ascii="Times New Roman" w:hAnsi="Times New Roman" w:cs="Times New Roman"/>
          <w:sz w:val="20"/>
          <w:szCs w:val="20"/>
        </w:rPr>
        <w:t>Tight main-chain packing and strong π</w:t>
      </w:r>
      <w:r>
        <w:rPr>
          <w:rFonts w:hint="eastAsia" w:ascii="Times New Roman" w:hAnsi="Times New Roman" w:cs="Times New Roman"/>
          <w:sz w:val="20"/>
          <w:szCs w:val="20"/>
        </w:rPr>
        <w:t>-</w:t>
      </w:r>
      <w:r>
        <w:rPr>
          <w:rFonts w:ascii="Times New Roman" w:hAnsi="Times New Roman" w:cs="Times New Roman"/>
          <w:sz w:val="20"/>
          <w:szCs w:val="20"/>
        </w:rPr>
        <w:t>π interactions due to soft, electronegative groups.</w:t>
      </w:r>
    </w:p>
    <w:p w14:paraId="695E6F09">
      <w:pPr>
        <w:ind w:firstLine="400" w:firstLineChars="200"/>
        <w:rPr>
          <w:rFonts w:ascii="Times New Roman" w:hAnsi="Times New Roman" w:cs="Times New Roman"/>
          <w:sz w:val="20"/>
          <w:szCs w:val="20"/>
        </w:rPr>
      </w:pPr>
      <w:r>
        <w:rPr>
          <w:rFonts w:ascii="Times New Roman" w:hAnsi="Times New Roman" w:cs="Times New Roman"/>
          <w:sz w:val="20"/>
          <w:szCs w:val="20"/>
        </w:rPr>
        <w:t>Higher carrier mobility and short-circuit current density (JSC).</w:t>
      </w:r>
    </w:p>
    <w:p w14:paraId="66D68CED">
      <w:pPr>
        <w:ind w:firstLine="400" w:firstLineChars="200"/>
        <w:rPr>
          <w:rFonts w:ascii="Times New Roman" w:hAnsi="Times New Roman" w:cs="Times New Roman"/>
          <w:sz w:val="20"/>
          <w:szCs w:val="20"/>
        </w:rPr>
      </w:pPr>
      <w:r>
        <w:rPr>
          <w:rFonts w:ascii="Times New Roman" w:hAnsi="Times New Roman" w:cs="Times New Roman"/>
          <w:sz w:val="20"/>
          <w:szCs w:val="20"/>
        </w:rPr>
        <w:t>However, typically results in a lower open-circuit voltage (VOC).</w:t>
      </w:r>
    </w:p>
    <w:p w14:paraId="4FE94613">
      <w:pPr>
        <w:ind w:firstLine="400" w:firstLineChars="200"/>
        <w:rPr>
          <w:rFonts w:ascii="Times New Roman" w:hAnsi="Times New Roman" w:cs="Times New Roman"/>
          <w:sz w:val="20"/>
          <w:szCs w:val="20"/>
        </w:rPr>
      </w:pPr>
      <w:r>
        <w:rPr>
          <w:rFonts w:hint="eastAsia" w:ascii="Times New Roman" w:hAnsi="Times New Roman" w:cs="Times New Roman"/>
          <w:sz w:val="20"/>
          <w:szCs w:val="20"/>
        </w:rPr>
        <w:t>(3)</w:t>
      </w:r>
      <w:r>
        <w:rPr>
          <w:rFonts w:ascii="Times New Roman" w:hAnsi="Times New Roman" w:cs="Times New Roman"/>
          <w:sz w:val="20"/>
          <w:szCs w:val="20"/>
        </w:rPr>
        <w:t xml:space="preserve"> 2D-BDT Properties:</w:t>
      </w:r>
    </w:p>
    <w:p w14:paraId="433228E9">
      <w:pPr>
        <w:ind w:firstLine="400" w:firstLineChars="200"/>
        <w:rPr>
          <w:rFonts w:ascii="Times New Roman" w:hAnsi="Times New Roman" w:cs="Times New Roman"/>
          <w:sz w:val="20"/>
          <w:szCs w:val="20"/>
        </w:rPr>
      </w:pPr>
      <w:r>
        <w:rPr>
          <w:rFonts w:ascii="Times New Roman" w:hAnsi="Times New Roman" w:cs="Times New Roman"/>
          <w:sz w:val="20"/>
          <w:szCs w:val="20"/>
        </w:rPr>
        <w:t>Enhanced π</w:t>
      </w:r>
      <w:r>
        <w:rPr>
          <w:rFonts w:hint="eastAsia" w:ascii="Times New Roman" w:hAnsi="Times New Roman" w:cs="Times New Roman"/>
          <w:sz w:val="20"/>
          <w:szCs w:val="20"/>
        </w:rPr>
        <w:t>-</w:t>
      </w:r>
      <w:r>
        <w:rPr>
          <w:rFonts w:ascii="Times New Roman" w:hAnsi="Times New Roman" w:cs="Times New Roman"/>
          <w:sz w:val="20"/>
          <w:szCs w:val="20"/>
        </w:rPr>
        <w:t>π stacking due to extended conjugation in the axial direction.</w:t>
      </w:r>
    </w:p>
    <w:p w14:paraId="76583C99">
      <w:pPr>
        <w:ind w:firstLine="400" w:firstLineChars="200"/>
        <w:rPr>
          <w:rFonts w:ascii="Times New Roman" w:hAnsi="Times New Roman" w:cs="Times New Roman"/>
          <w:sz w:val="20"/>
          <w:szCs w:val="20"/>
        </w:rPr>
      </w:pPr>
      <w:r>
        <w:rPr>
          <w:rFonts w:ascii="Times New Roman" w:hAnsi="Times New Roman" w:cs="Times New Roman"/>
          <w:sz w:val="20"/>
          <w:szCs w:val="20"/>
        </w:rPr>
        <w:t>Improved exciton separation and transport.</w:t>
      </w:r>
    </w:p>
    <w:p w14:paraId="32199E23">
      <w:pPr>
        <w:ind w:firstLine="400" w:firstLineChars="200"/>
        <w:rPr>
          <w:rFonts w:ascii="Times New Roman" w:hAnsi="Times New Roman" w:cs="Times New Roman"/>
          <w:sz w:val="20"/>
          <w:szCs w:val="20"/>
        </w:rPr>
      </w:pPr>
      <w:r>
        <w:rPr>
          <w:rFonts w:ascii="Times New Roman" w:hAnsi="Times New Roman" w:cs="Times New Roman"/>
          <w:sz w:val="20"/>
          <w:szCs w:val="20"/>
        </w:rPr>
        <w:t>Higher VOC because of the reduction in the electron-donating ability of aromatic substituents.</w:t>
      </w:r>
    </w:p>
    <w:p w14:paraId="40AEEEC7">
      <w:pPr>
        <w:ind w:firstLine="400" w:firstLineChars="200"/>
        <w:rPr>
          <w:rFonts w:ascii="Times New Roman" w:hAnsi="Times New Roman" w:cs="Times New Roman"/>
          <w:sz w:val="20"/>
          <w:szCs w:val="20"/>
        </w:rPr>
      </w:pPr>
      <w:r>
        <w:rPr>
          <w:rFonts w:ascii="Times New Roman" w:hAnsi="Times New Roman" w:cs="Times New Roman"/>
          <w:sz w:val="20"/>
          <w:szCs w:val="20"/>
        </w:rPr>
        <w:t>Potential drawbacks include decreased JSC and morphological instability due to the rigidity of larger substituents.</w:t>
      </w:r>
    </w:p>
    <w:p w14:paraId="120B1D7D">
      <w:pPr>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Applications:</w:t>
      </w:r>
    </w:p>
    <w:p w14:paraId="4F770C0A">
      <w:pPr>
        <w:ind w:firstLine="400" w:firstLineChars="200"/>
        <w:rPr>
          <w:rFonts w:hint="eastAsia" w:ascii="Times New Roman" w:hAnsi="Times New Roman" w:cs="Times New Roman"/>
          <w:sz w:val="20"/>
          <w:szCs w:val="20"/>
        </w:rPr>
      </w:pPr>
      <w:r>
        <w:rPr>
          <w:rFonts w:hint="eastAsia" w:ascii="Times New Roman" w:hAnsi="Times New Roman" w:cs="Times New Roman"/>
          <w:sz w:val="20"/>
          <w:szCs w:val="20"/>
        </w:rPr>
        <w:t>(1)</w:t>
      </w:r>
      <w:r>
        <w:rPr>
          <w:rFonts w:ascii="Times New Roman" w:hAnsi="Times New Roman" w:cs="Times New Roman"/>
          <w:sz w:val="20"/>
          <w:szCs w:val="20"/>
        </w:rPr>
        <w:t xml:space="preserve"> Primary Application: Organic Solar Cells (OSCs)</w:t>
      </w:r>
      <w:r>
        <w:rPr>
          <w:rFonts w:hint="eastAsia" w:ascii="Times New Roman" w:hAnsi="Times New Roman" w:cs="Times New Roman"/>
          <w:sz w:val="20"/>
          <w:szCs w:val="20"/>
        </w:rPr>
        <w:t>:</w:t>
      </w:r>
    </w:p>
    <w:p w14:paraId="2515CE5A">
      <w:pPr>
        <w:ind w:firstLine="400" w:firstLineChars="200"/>
        <w:rPr>
          <w:rFonts w:ascii="Times New Roman" w:hAnsi="Times New Roman" w:cs="Times New Roman"/>
          <w:sz w:val="20"/>
          <w:szCs w:val="20"/>
        </w:rPr>
      </w:pPr>
      <w:r>
        <w:rPr>
          <w:rFonts w:ascii="Times New Roman" w:hAnsi="Times New Roman" w:cs="Times New Roman"/>
          <w:sz w:val="20"/>
          <w:szCs w:val="20"/>
        </w:rPr>
        <w:t>Used as donor units in high-efficiency polymers for OSCs.</w:t>
      </w:r>
    </w:p>
    <w:p w14:paraId="509A09B1">
      <w:pPr>
        <w:ind w:firstLine="400" w:firstLineChars="200"/>
        <w:rPr>
          <w:rFonts w:ascii="Times New Roman" w:hAnsi="Times New Roman" w:cs="Times New Roman"/>
          <w:sz w:val="20"/>
          <w:szCs w:val="20"/>
        </w:rPr>
      </w:pPr>
      <w:r>
        <w:rPr>
          <w:rFonts w:ascii="Times New Roman" w:hAnsi="Times New Roman" w:cs="Times New Roman"/>
          <w:sz w:val="20"/>
          <w:szCs w:val="20"/>
        </w:rPr>
        <w:t>Part of the active layer in OPVs, where BDT derivatives contribute to light absorption and charge transport.</w:t>
      </w:r>
    </w:p>
    <w:p w14:paraId="4072B194">
      <w:pPr>
        <w:ind w:firstLine="400" w:firstLineChars="200"/>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Photovoltaic Performance Improvement:</w:t>
      </w:r>
    </w:p>
    <w:p w14:paraId="0B135249">
      <w:pPr>
        <w:ind w:firstLine="400" w:firstLineChars="200"/>
        <w:rPr>
          <w:rFonts w:ascii="Times New Roman" w:hAnsi="Times New Roman" w:cs="Times New Roman"/>
          <w:sz w:val="20"/>
          <w:szCs w:val="20"/>
        </w:rPr>
      </w:pPr>
      <w:r>
        <w:rPr>
          <w:rFonts w:ascii="Times New Roman" w:hAnsi="Times New Roman" w:cs="Times New Roman"/>
          <w:sz w:val="20"/>
          <w:szCs w:val="20"/>
        </w:rPr>
        <w:t>Asymmetric BDT derivatives (e.g., 1D</w:t>
      </w:r>
      <w:r>
        <w:rPr>
          <w:rFonts w:hint="eastAsia" w:ascii="Times New Roman" w:hAnsi="Times New Roman" w:cs="Times New Roman"/>
          <w:sz w:val="20"/>
          <w:szCs w:val="20"/>
        </w:rPr>
        <w:t>-</w:t>
      </w:r>
      <w:r>
        <w:rPr>
          <w:rFonts w:ascii="Times New Roman" w:hAnsi="Times New Roman" w:cs="Times New Roman"/>
          <w:sz w:val="20"/>
          <w:szCs w:val="20"/>
        </w:rPr>
        <w:t>2D BDT hybrids) combine the advantages of 1D and 2D structures to enhance photovoltaic efficiency.</w:t>
      </w:r>
    </w:p>
    <w:p w14:paraId="7F4873FC">
      <w:pPr>
        <w:ind w:firstLine="400" w:firstLineChars="200"/>
        <w:rPr>
          <w:rFonts w:ascii="Times New Roman" w:hAnsi="Times New Roman" w:cs="Times New Roman"/>
          <w:sz w:val="20"/>
          <w:szCs w:val="20"/>
        </w:rPr>
      </w:pPr>
      <w:r>
        <w:rPr>
          <w:rFonts w:ascii="Times New Roman" w:hAnsi="Times New Roman" w:cs="Times New Roman"/>
          <w:sz w:val="20"/>
          <w:szCs w:val="20"/>
        </w:rPr>
        <w:t>Researchers have achieved power conversion efficiencies (PCEs) above 18% by optimizing BDT-based materials.</w:t>
      </w:r>
    </w:p>
    <w:p w14:paraId="199696F7">
      <w:pPr>
        <w:ind w:firstLine="400" w:firstLineChars="200"/>
        <w:rPr>
          <w:rFonts w:ascii="Times New Roman" w:hAnsi="Times New Roman" w:cs="Times New Roman"/>
          <w:sz w:val="20"/>
          <w:szCs w:val="20"/>
        </w:rPr>
      </w:pPr>
      <w:r>
        <w:rPr>
          <w:rFonts w:hint="eastAsia" w:ascii="Times New Roman" w:hAnsi="Times New Roman" w:cs="Times New Roman"/>
          <w:sz w:val="20"/>
          <w:szCs w:val="20"/>
        </w:rPr>
        <w:t>(3)</w:t>
      </w:r>
      <w:r>
        <w:rPr>
          <w:rFonts w:ascii="Times New Roman" w:hAnsi="Times New Roman" w:cs="Times New Roman"/>
          <w:sz w:val="20"/>
          <w:szCs w:val="20"/>
        </w:rPr>
        <w:t xml:space="preserve"> Other Uses:</w:t>
      </w:r>
    </w:p>
    <w:p w14:paraId="412A447E">
      <w:pPr>
        <w:ind w:firstLine="400" w:firstLineChars="200"/>
        <w:rPr>
          <w:rFonts w:ascii="Times New Roman" w:hAnsi="Times New Roman" w:cs="Times New Roman"/>
          <w:sz w:val="20"/>
          <w:szCs w:val="20"/>
        </w:rPr>
      </w:pPr>
      <w:r>
        <w:rPr>
          <w:rFonts w:ascii="Times New Roman" w:hAnsi="Times New Roman" w:cs="Times New Roman"/>
          <w:sz w:val="20"/>
          <w:szCs w:val="20"/>
        </w:rPr>
        <w:t>Light-harvesting systems and organic electronics.</w:t>
      </w:r>
    </w:p>
    <w:p w14:paraId="44E7D62F">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Strategic applications in multi-component devices like ternary OSCs to maximize photon utilization and overall device performance.</w:t>
      </w:r>
    </w:p>
    <w:p w14:paraId="2519E5EB">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Conclusion:</w:t>
      </w:r>
      <w:r>
        <w:rPr>
          <w:rFonts w:hint="eastAsia" w:ascii="Times New Roman" w:hAnsi="Times New Roman" w:cs="Times New Roman"/>
          <w:sz w:val="20"/>
          <w:szCs w:val="20"/>
        </w:rPr>
        <w:t xml:space="preserve"> </w:t>
      </w:r>
      <w:r>
        <w:rPr>
          <w:rFonts w:ascii="Times New Roman" w:hAnsi="Times New Roman" w:cs="Times New Roman"/>
          <w:sz w:val="20"/>
          <w:szCs w:val="20"/>
        </w:rPr>
        <w:t>BDT derivatives are indispensable for advancing OSC technology due to their structural tunability and outstanding optoelectronic properties. Efforts like symmetry-breaking strategies aim to mitigate the trade-offs between JSC and VOC, enabling highly efficient devices. Further synthesis and characterization of asymmetric BDT polymers will likely drive innovations in sustainable energy generation.</w:t>
      </w:r>
    </w:p>
    <w:p w14:paraId="73EDF45D">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6158FE1A">
      <w:pPr>
        <w:ind w:firstLine="400" w:firstLineChars="200"/>
        <w:rPr>
          <w:rFonts w:ascii="Times New Roman" w:hAnsi="Times New Roman" w:cs="Times New Roman"/>
          <w:sz w:val="20"/>
          <w:szCs w:val="20"/>
        </w:rPr>
      </w:pPr>
      <w:r>
        <w:rPr>
          <w:rFonts w:hint="eastAsia" w:ascii="Times New Roman" w:hAnsi="Times New Roman" w:cs="Times New Roman"/>
          <w:sz w:val="20"/>
          <w:szCs w:val="20"/>
        </w:rPr>
        <w:t>Benzodithiophene (BDT) and its derivatives are a prominent class of organic semiconducting materials widely employed in organic electronics, including organic solar cells (OSCs), organic field-effect transistors (OFETs), and organic light-emitting diodes (OLEDs). Their popularity stems from their versatile chemical structure, tunable electronic properties, high stability, and ability to promote efficient charge transport.</w:t>
      </w:r>
    </w:p>
    <w:p w14:paraId="4679D4BA">
      <w:pPr>
        <w:rPr>
          <w:rFonts w:ascii="Times New Roman" w:hAnsi="Times New Roman" w:cs="Times New Roman"/>
          <w:sz w:val="20"/>
          <w:szCs w:val="20"/>
        </w:rPr>
      </w:pPr>
      <w:r>
        <w:rPr>
          <w:rFonts w:hint="eastAsia" w:ascii="Times New Roman" w:hAnsi="Times New Roman" w:cs="Times New Roman"/>
          <w:sz w:val="20"/>
          <w:szCs w:val="20"/>
        </w:rPr>
        <w:t>1. Structures of Benzodithiophene Derivatives</w:t>
      </w:r>
    </w:p>
    <w:p w14:paraId="24B7A27E">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basic BDT unit consists of a central benzene ring fused with two thiophene rings. The core BDT structure can be readily modified at various positions to tailor its properties:</w:t>
      </w:r>
    </w:p>
    <w:p w14:paraId="54910787">
      <w:pPr>
        <w:ind w:firstLine="400" w:firstLineChars="200"/>
        <w:rPr>
          <w:rFonts w:ascii="Times New Roman" w:hAnsi="Times New Roman" w:cs="Times New Roman"/>
          <w:sz w:val="20"/>
          <w:szCs w:val="20"/>
        </w:rPr>
      </w:pPr>
      <w:r>
        <w:rPr>
          <w:rFonts w:hint="eastAsia" w:ascii="Times New Roman" w:hAnsi="Times New Roman" w:cs="Times New Roman"/>
          <w:sz w:val="20"/>
          <w:szCs w:val="20"/>
        </w:rPr>
        <w:t>Substitution on the Benzene Ring: The benzene ring can be substituted with electron-donating or electron-withdrawing groups to tune the HOMO/LUMO energy levels and the overall electronic properties of the molecule. Common substituents include alkyl chains (for solubility), alkoxy groups, fluorine atoms, or cyano groups.</w:t>
      </w:r>
    </w:p>
    <w:p w14:paraId="0F68BFF9">
      <w:pPr>
        <w:ind w:firstLine="400" w:firstLineChars="200"/>
        <w:rPr>
          <w:rFonts w:ascii="Times New Roman" w:hAnsi="Times New Roman" w:cs="Times New Roman"/>
          <w:sz w:val="20"/>
          <w:szCs w:val="20"/>
        </w:rPr>
      </w:pPr>
      <w:r>
        <w:rPr>
          <w:rFonts w:hint="eastAsia" w:ascii="Times New Roman" w:hAnsi="Times New Roman" w:cs="Times New Roman"/>
          <w:sz w:val="20"/>
          <w:szCs w:val="20"/>
        </w:rPr>
        <w:t>Substitution on the Thiophene Rings: The thiophene rings can also be substituted, often with alkyl chains or aryl groups, to modulate solubility, intermolecular interactions, and molecular packing.</w:t>
      </w:r>
    </w:p>
    <w:p w14:paraId="5458D49B">
      <w:pPr>
        <w:ind w:firstLine="400" w:firstLineChars="200"/>
        <w:rPr>
          <w:rFonts w:ascii="Times New Roman" w:hAnsi="Times New Roman" w:cs="Times New Roman"/>
          <w:sz w:val="20"/>
          <w:szCs w:val="20"/>
        </w:rPr>
      </w:pPr>
      <w:r>
        <w:rPr>
          <w:rFonts w:hint="eastAsia" w:ascii="Times New Roman" w:hAnsi="Times New Roman" w:cs="Times New Roman"/>
          <w:sz w:val="20"/>
          <w:szCs w:val="20"/>
        </w:rPr>
        <w:t>Fusion with Additional Rings: The BDT core can be fused with additional aromatic or heteroaromatic rings to extend the pi-conjugation length, modify the electronic bandgap, and influence the molecule's planarity. Examples include fusing BDT with thiophene, benzothiadiazole, or diketopyrrolopyrrole (DPP) units.</w:t>
      </w:r>
    </w:p>
    <w:p w14:paraId="6D083F64">
      <w:pPr>
        <w:ind w:firstLine="400" w:firstLineChars="200"/>
        <w:rPr>
          <w:rFonts w:ascii="Times New Roman" w:hAnsi="Times New Roman" w:cs="Times New Roman"/>
          <w:sz w:val="20"/>
          <w:szCs w:val="20"/>
        </w:rPr>
      </w:pPr>
      <w:r>
        <w:rPr>
          <w:rFonts w:hint="eastAsia" w:ascii="Times New Roman" w:hAnsi="Times New Roman" w:cs="Times New Roman"/>
          <w:sz w:val="20"/>
          <w:szCs w:val="20"/>
        </w:rPr>
        <w:t>End-Capping with Acceptor Units: In the design of non-fullerene acceptors for OSCs, BDT units are often used as a central donor core and are end-capped with strong electron-withdrawing groups (like 2-(3-oxo-2,3-dihydroinden-1-ylidene) malononitrile (INCN) derivatives or cyano groups) to create a D-A-D (Donor-Acceptor-Donor) architecture.</w:t>
      </w:r>
    </w:p>
    <w:p w14:paraId="75BC4F04">
      <w:pPr>
        <w:rPr>
          <w:rFonts w:ascii="Times New Roman" w:hAnsi="Times New Roman" w:cs="Times New Roman"/>
          <w:sz w:val="20"/>
          <w:szCs w:val="20"/>
        </w:rPr>
      </w:pPr>
      <w:r>
        <w:rPr>
          <w:rFonts w:hint="eastAsia" w:ascii="Times New Roman" w:hAnsi="Times New Roman" w:cs="Times New Roman"/>
          <w:sz w:val="20"/>
          <w:szCs w:val="20"/>
        </w:rPr>
        <w:t>2. Properties of Benzodithiophene Derivatives</w:t>
      </w:r>
    </w:p>
    <w:p w14:paraId="2A5C209D">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properties of BDT derivatives are highly tunable through structural modifications:</w:t>
      </w:r>
    </w:p>
    <w:p w14:paraId="192ADA51">
      <w:pPr>
        <w:ind w:firstLine="400" w:firstLineChars="200"/>
        <w:rPr>
          <w:rFonts w:ascii="Times New Roman" w:hAnsi="Times New Roman" w:cs="Times New Roman"/>
          <w:sz w:val="20"/>
          <w:szCs w:val="20"/>
        </w:rPr>
      </w:pPr>
      <w:r>
        <w:rPr>
          <w:rFonts w:hint="eastAsia" w:ascii="Times New Roman" w:hAnsi="Times New Roman" w:cs="Times New Roman"/>
          <w:sz w:val="20"/>
          <w:szCs w:val="20"/>
        </w:rPr>
        <w:t>Electronic Properties: HOMO/LUMO Energy Levels: The HOMO and LUMO energy levels can be precisely adjusted by incorporating electron-donating or electron-withdrawing substituents. Electron-donating groups raise the HOMO and LUMO levels, while electron-withdrawing groups lower them. This tunability is crucial for optimizing energy level alignment in organic electronic devices.</w:t>
      </w:r>
    </w:p>
    <w:p w14:paraId="6FAC1C81">
      <w:pPr>
        <w:ind w:firstLine="400" w:firstLineChars="200"/>
        <w:rPr>
          <w:rFonts w:ascii="Times New Roman" w:hAnsi="Times New Roman" w:cs="Times New Roman"/>
          <w:sz w:val="20"/>
          <w:szCs w:val="20"/>
        </w:rPr>
      </w:pPr>
      <w:r>
        <w:rPr>
          <w:rFonts w:hint="eastAsia" w:ascii="Times New Roman" w:hAnsi="Times New Roman" w:cs="Times New Roman"/>
          <w:sz w:val="20"/>
          <w:szCs w:val="20"/>
        </w:rPr>
        <w:t>Bandgap: The optical bandgap can be tuned by extending the pi-conjugation length or incorporating electron-withdrawing/donating groups. Fusing additional aromatic rings to the BDT core generally reduces the bandgap.</w:t>
      </w:r>
    </w:p>
    <w:p w14:paraId="02A763A8">
      <w:pPr>
        <w:ind w:firstLine="400" w:firstLineChars="200"/>
        <w:rPr>
          <w:rFonts w:ascii="Times New Roman" w:hAnsi="Times New Roman" w:cs="Times New Roman"/>
          <w:sz w:val="20"/>
          <w:szCs w:val="20"/>
        </w:rPr>
      </w:pPr>
      <w:r>
        <w:rPr>
          <w:rFonts w:hint="eastAsia" w:ascii="Times New Roman" w:hAnsi="Times New Roman" w:cs="Times New Roman"/>
          <w:sz w:val="20"/>
          <w:szCs w:val="20"/>
        </w:rPr>
        <w:t>Charge Carrier Mobility: BDT derivatives often exhibit high charge carrier mobility due to their planar structure and ability to form well-ordered pi-pi stacking arrangements. Substituents that promote strong intermolecular interactions and reduce steric hindrance can further enhance mobility.</w:t>
      </w:r>
    </w:p>
    <w:p w14:paraId="07F92F8E">
      <w:pPr>
        <w:ind w:firstLine="400" w:firstLineChars="200"/>
        <w:rPr>
          <w:rFonts w:ascii="Times New Roman" w:hAnsi="Times New Roman" w:cs="Times New Roman"/>
          <w:sz w:val="20"/>
          <w:szCs w:val="20"/>
        </w:rPr>
      </w:pPr>
      <w:r>
        <w:rPr>
          <w:rFonts w:hint="eastAsia" w:ascii="Times New Roman" w:hAnsi="Times New Roman" w:cs="Times New Roman"/>
          <w:sz w:val="20"/>
          <w:szCs w:val="20"/>
        </w:rPr>
        <w:t>Optical Properties: BDT derivatives typically exhibit strong absorption in the visible and near-infrared regions. The absorption spectrum can be tuned by varying the substituents and the extent of pi-conjugation.</w:t>
      </w:r>
    </w:p>
    <w:p w14:paraId="777F22BF">
      <w:pPr>
        <w:ind w:firstLine="400" w:firstLineChars="200"/>
        <w:rPr>
          <w:rFonts w:ascii="Times New Roman" w:hAnsi="Times New Roman" w:cs="Times New Roman"/>
          <w:sz w:val="20"/>
          <w:szCs w:val="20"/>
        </w:rPr>
      </w:pPr>
      <w:r>
        <w:rPr>
          <w:rFonts w:hint="eastAsia" w:ascii="Times New Roman" w:hAnsi="Times New Roman" w:cs="Times New Roman"/>
          <w:sz w:val="20"/>
          <w:szCs w:val="20"/>
        </w:rPr>
        <w:t>Solubility: The solubility of BDT derivatives in organic solvents is crucial for solution processing. Alkyl chains are commonly used to enhance solubility. The length and branching of the alkyl chains can be optimized to achieve a balance between solubility and intermolecular interactions.</w:t>
      </w:r>
    </w:p>
    <w:p w14:paraId="4513B1E4">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Thermal and Electrochemical Stability: BDT derivatives generally exhibit good thermal and electrochemical stability, which is essential for the long-term performance of organic electronic devices.</w:t>
      </w:r>
    </w:p>
    <w:p w14:paraId="72C5B43E">
      <w:pPr>
        <w:ind w:firstLine="400" w:firstLineChars="200"/>
        <w:rPr>
          <w:rFonts w:ascii="Times New Roman" w:hAnsi="Times New Roman" w:cs="Times New Roman"/>
          <w:sz w:val="20"/>
          <w:szCs w:val="20"/>
        </w:rPr>
      </w:pPr>
      <w:r>
        <w:rPr>
          <w:rFonts w:hint="eastAsia" w:ascii="Times New Roman" w:hAnsi="Times New Roman" w:cs="Times New Roman"/>
          <w:sz w:val="20"/>
          <w:szCs w:val="20"/>
        </w:rPr>
        <w:t>Self-Assembly and Morphology: The substituents on the BDT core significantly influence the self-assembly behavior and the resulting thin-film morphology. Strong intermolecular interactions (like pi-pi stacking or hydrogen bonding) can promote the formation of ordered structures, which can enhance charge transport.</w:t>
      </w:r>
    </w:p>
    <w:p w14:paraId="11D76ABF">
      <w:pPr>
        <w:rPr>
          <w:rFonts w:ascii="Times New Roman" w:hAnsi="Times New Roman" w:cs="Times New Roman"/>
          <w:sz w:val="20"/>
          <w:szCs w:val="20"/>
        </w:rPr>
      </w:pPr>
      <w:r>
        <w:rPr>
          <w:rFonts w:hint="eastAsia" w:ascii="Times New Roman" w:hAnsi="Times New Roman" w:cs="Times New Roman"/>
          <w:sz w:val="20"/>
          <w:szCs w:val="20"/>
        </w:rPr>
        <w:t>3. Applications of Benzodithiophene Derivatives</w:t>
      </w:r>
    </w:p>
    <w:p w14:paraId="2995868D">
      <w:pPr>
        <w:ind w:firstLine="400" w:firstLineChars="200"/>
        <w:rPr>
          <w:rFonts w:ascii="Times New Roman" w:hAnsi="Times New Roman" w:cs="Times New Roman"/>
          <w:sz w:val="20"/>
          <w:szCs w:val="20"/>
        </w:rPr>
      </w:pPr>
      <w:r>
        <w:rPr>
          <w:rFonts w:hint="eastAsia" w:ascii="Times New Roman" w:hAnsi="Times New Roman" w:cs="Times New Roman"/>
          <w:sz w:val="20"/>
          <w:szCs w:val="20"/>
        </w:rPr>
        <w:t>BDT derivatives have found widespread use in various organic electronic applications:</w:t>
      </w:r>
    </w:p>
    <w:p w14:paraId="567E36A5">
      <w:pPr>
        <w:ind w:firstLine="400" w:firstLineChars="200"/>
        <w:rPr>
          <w:rFonts w:ascii="Times New Roman" w:hAnsi="Times New Roman" w:cs="Times New Roman"/>
          <w:sz w:val="20"/>
          <w:szCs w:val="20"/>
        </w:rPr>
      </w:pPr>
      <w:r>
        <w:rPr>
          <w:rFonts w:hint="eastAsia" w:ascii="Times New Roman" w:hAnsi="Times New Roman" w:cs="Times New Roman"/>
          <w:sz w:val="20"/>
          <w:szCs w:val="20"/>
        </w:rPr>
        <w:t>Organic Solar Cells (OSCs): Donor Materials: BDT-based polymers are widely used as donor materials in OSCs. Their tunable energy levels, broad absorption spectra, high charge carrier mobility, and good film-forming properties make them excellent candidates for high-efficiency OSCs.</w:t>
      </w:r>
    </w:p>
    <w:p w14:paraId="6672903B">
      <w:pPr>
        <w:ind w:firstLine="400" w:firstLineChars="200"/>
        <w:rPr>
          <w:rFonts w:ascii="Times New Roman" w:hAnsi="Times New Roman" w:cs="Times New Roman"/>
          <w:sz w:val="20"/>
          <w:szCs w:val="20"/>
        </w:rPr>
      </w:pPr>
      <w:r>
        <w:rPr>
          <w:rFonts w:hint="eastAsia" w:ascii="Times New Roman" w:hAnsi="Times New Roman" w:cs="Times New Roman"/>
          <w:sz w:val="20"/>
          <w:szCs w:val="20"/>
        </w:rPr>
        <w:t>Acceptor Materials: BDT is also a key building block in non-fullerene acceptors. By end-capping BDT with electron-withdrawing groups, highly efficient acceptors can be created. The Y6 molecule, a benchmark non-fullerene acceptor, contains a BDT core.</w:t>
      </w:r>
    </w:p>
    <w:p w14:paraId="45825108">
      <w:pPr>
        <w:ind w:firstLine="400" w:firstLineChars="200"/>
        <w:rPr>
          <w:rFonts w:ascii="Times New Roman" w:hAnsi="Times New Roman" w:cs="Times New Roman"/>
          <w:sz w:val="20"/>
          <w:szCs w:val="20"/>
        </w:rPr>
      </w:pPr>
      <w:r>
        <w:rPr>
          <w:rFonts w:hint="eastAsia" w:ascii="Times New Roman" w:hAnsi="Times New Roman" w:cs="Times New Roman"/>
          <w:sz w:val="20"/>
          <w:szCs w:val="20"/>
        </w:rPr>
        <w:t>Organic Field-Effect Transistors (OFETs): BDT derivatives are used as the active semiconducting layer in OFETs. Their high charge carrier mobility and good stability enable high-performance transistors. The substituents on the BDT core can be optimized to control the packing and orientation of the molecules in the thin film, which can further enhance the transistor performance.</w:t>
      </w:r>
    </w:p>
    <w:p w14:paraId="700E3BAC">
      <w:pPr>
        <w:ind w:firstLine="400" w:firstLineChars="200"/>
        <w:rPr>
          <w:rFonts w:ascii="Times New Roman" w:hAnsi="Times New Roman" w:cs="Times New Roman"/>
          <w:sz w:val="20"/>
          <w:szCs w:val="20"/>
        </w:rPr>
      </w:pPr>
      <w:r>
        <w:rPr>
          <w:rFonts w:hint="eastAsia" w:ascii="Times New Roman" w:hAnsi="Times New Roman" w:cs="Times New Roman"/>
          <w:sz w:val="20"/>
          <w:szCs w:val="20"/>
        </w:rPr>
        <w:t>Organic Light-Emitting Diodes (OLEDs): BDT derivatives can be used as emitting materials or as charge-transporting materials in OLEDs. Their tunable electronic properties and good stability make them attractive for OLED applications.</w:t>
      </w:r>
    </w:p>
    <w:p w14:paraId="3E0D0CCB">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Other Applications: BDT derivatives have also found applications in organic photodetectors, organic thermoelectric devices, and chemical sensors.</w:t>
      </w:r>
    </w:p>
    <w:p w14:paraId="5892E042">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In summary, benzodithiophene and its derivatives are a versatile class of organic semiconducting materials with tunable structures, properties, and a wide range of applications in organic electronics. Their ability to be easily modified and their favorable electronic properties make them a cornerstone in the development of advanced organic electronic devices.</w:t>
      </w:r>
    </w:p>
    <w:p w14:paraId="42D7DB54">
      <w:pPr>
        <w:pStyle w:val="31"/>
        <w:numPr>
          <w:ilvl w:val="0"/>
          <w:numId w:val="2"/>
        </w:numPr>
        <w:ind w:left="363" w:hanging="363"/>
        <w:outlineLvl w:val="0"/>
        <w:rPr>
          <w:rFonts w:ascii="Times New Roman" w:hAnsi="Times New Roman" w:cs="Times New Roman"/>
          <w:b/>
          <w:bCs/>
          <w:color w:val="2E75B6" w:themeColor="accent5" w:themeShade="BF"/>
          <w:szCs w:val="21"/>
        </w:rPr>
      </w:pPr>
      <w:r>
        <w:rPr>
          <w:rFonts w:ascii="Times New Roman" w:hAnsi="Times New Roman" w:cs="Times New Roman"/>
          <w:b/>
          <w:bCs/>
          <w:color w:val="2E75B6" w:themeColor="accent5" w:themeShade="BF"/>
          <w:szCs w:val="21"/>
        </w:rPr>
        <w:t>Material degradation pathways in photoactive layer. How to mitigate the material degradation</w:t>
      </w:r>
    </w:p>
    <w:p w14:paraId="6A8AB633">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A:</w:t>
      </w:r>
    </w:p>
    <w:p w14:paraId="72829DC7">
      <w:pPr>
        <w:rPr>
          <w:rFonts w:ascii="Times New Roman" w:hAnsi="Times New Roman" w:cs="Times New Roman"/>
          <w:b/>
          <w:bCs/>
          <w:szCs w:val="21"/>
        </w:rPr>
      </w:pPr>
      <w:r>
        <w:rPr>
          <w:rFonts w:hint="eastAsia" w:ascii="Times New Roman" w:hAnsi="Times New Roman" w:cs="Times New Roman"/>
          <w:sz w:val="20"/>
          <w:szCs w:val="20"/>
        </w:rPr>
        <w:t>1.</w:t>
      </w:r>
      <w:r>
        <w:rPr>
          <w:rFonts w:ascii="Times New Roman" w:hAnsi="Times New Roman" w:cs="Times New Roman"/>
          <w:sz w:val="20"/>
          <w:szCs w:val="20"/>
        </w:rPr>
        <w:t xml:space="preserve"> Material Degradation Pathways in the Photoactive Layer</w:t>
      </w:r>
    </w:p>
    <w:p w14:paraId="17EBDE7F">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Photooxidation:</w:t>
      </w:r>
    </w:p>
    <w:p w14:paraId="4EC363B6">
      <w:pPr>
        <w:ind w:firstLine="400" w:firstLineChars="200"/>
        <w:rPr>
          <w:rFonts w:ascii="Times New Roman" w:hAnsi="Times New Roman" w:cs="Times New Roman"/>
          <w:sz w:val="20"/>
          <w:szCs w:val="20"/>
        </w:rPr>
      </w:pPr>
      <w:r>
        <w:rPr>
          <w:rFonts w:ascii="Times New Roman" w:hAnsi="Times New Roman" w:cs="Times New Roman"/>
          <w:sz w:val="20"/>
          <w:szCs w:val="20"/>
        </w:rPr>
        <w:t>Cause: UV/visible light generates reactive oxygen species (ROS) that oxidize donor/acceptor materials.</w:t>
      </w:r>
    </w:p>
    <w:p w14:paraId="38D51216">
      <w:pPr>
        <w:ind w:firstLine="400" w:firstLineChars="200"/>
        <w:rPr>
          <w:rFonts w:ascii="Times New Roman" w:hAnsi="Times New Roman" w:cs="Times New Roman"/>
          <w:sz w:val="20"/>
          <w:szCs w:val="20"/>
        </w:rPr>
      </w:pPr>
      <w:r>
        <w:rPr>
          <w:rFonts w:ascii="Times New Roman" w:hAnsi="Times New Roman" w:cs="Times New Roman"/>
          <w:sz w:val="20"/>
          <w:szCs w:val="20"/>
        </w:rPr>
        <w:t>Effect: Alters molecular structure, reducing charge transport and efficiency.</w:t>
      </w:r>
    </w:p>
    <w:p w14:paraId="31009158">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Thermal Degradation:</w:t>
      </w:r>
    </w:p>
    <w:p w14:paraId="7DD4B934">
      <w:pPr>
        <w:ind w:firstLine="400" w:firstLineChars="200"/>
        <w:rPr>
          <w:rFonts w:ascii="Times New Roman" w:hAnsi="Times New Roman" w:cs="Times New Roman"/>
          <w:sz w:val="20"/>
          <w:szCs w:val="20"/>
        </w:rPr>
      </w:pPr>
      <w:r>
        <w:rPr>
          <w:rFonts w:ascii="Times New Roman" w:hAnsi="Times New Roman" w:cs="Times New Roman"/>
          <w:sz w:val="20"/>
          <w:szCs w:val="20"/>
        </w:rPr>
        <w:t>Cause: Elevated temperatures during operation or environmental exposure cause phase separation or morphological instability.</w:t>
      </w:r>
    </w:p>
    <w:p w14:paraId="64D1F0BB">
      <w:pPr>
        <w:ind w:firstLine="400" w:firstLineChars="200"/>
        <w:rPr>
          <w:rFonts w:ascii="Times New Roman" w:hAnsi="Times New Roman" w:cs="Times New Roman"/>
          <w:sz w:val="20"/>
          <w:szCs w:val="20"/>
        </w:rPr>
      </w:pPr>
      <w:r>
        <w:rPr>
          <w:rFonts w:ascii="Times New Roman" w:hAnsi="Times New Roman" w:cs="Times New Roman"/>
          <w:sz w:val="20"/>
          <w:szCs w:val="20"/>
        </w:rPr>
        <w:t>Effect: Loss of optimized blend morphology, reducing device performance.</w:t>
      </w:r>
    </w:p>
    <w:p w14:paraId="44534BDF">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Hydrolysis:</w:t>
      </w:r>
    </w:p>
    <w:p w14:paraId="4A929648">
      <w:pPr>
        <w:ind w:firstLine="400" w:firstLineChars="200"/>
        <w:rPr>
          <w:rFonts w:ascii="Times New Roman" w:hAnsi="Times New Roman" w:cs="Times New Roman"/>
          <w:sz w:val="20"/>
          <w:szCs w:val="20"/>
        </w:rPr>
      </w:pPr>
      <w:r>
        <w:rPr>
          <w:rFonts w:ascii="Times New Roman" w:hAnsi="Times New Roman" w:cs="Times New Roman"/>
          <w:sz w:val="20"/>
          <w:szCs w:val="20"/>
        </w:rPr>
        <w:t>Cause: Moisture reacts with active layer components, leading to chemical degradation.</w:t>
      </w:r>
    </w:p>
    <w:p w14:paraId="749C340D">
      <w:pPr>
        <w:ind w:firstLine="400" w:firstLineChars="200"/>
        <w:rPr>
          <w:rFonts w:ascii="Times New Roman" w:hAnsi="Times New Roman" w:cs="Times New Roman"/>
          <w:sz w:val="20"/>
          <w:szCs w:val="20"/>
        </w:rPr>
      </w:pPr>
      <w:r>
        <w:rPr>
          <w:rFonts w:ascii="Times New Roman" w:hAnsi="Times New Roman" w:cs="Times New Roman"/>
          <w:sz w:val="20"/>
          <w:szCs w:val="20"/>
        </w:rPr>
        <w:t>Effect: Breakdown of donor/acceptor materials and poor device stability.</w:t>
      </w:r>
    </w:p>
    <w:p w14:paraId="520F30D0">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(4) </w:t>
      </w:r>
      <w:r>
        <w:rPr>
          <w:rFonts w:ascii="Times New Roman" w:hAnsi="Times New Roman" w:cs="Times New Roman"/>
          <w:sz w:val="20"/>
          <w:szCs w:val="20"/>
        </w:rPr>
        <w:t>Photoinduced Morphological Instability:</w:t>
      </w:r>
    </w:p>
    <w:p w14:paraId="2BD07E52">
      <w:pPr>
        <w:ind w:firstLine="400" w:firstLineChars="200"/>
        <w:rPr>
          <w:rFonts w:ascii="Times New Roman" w:hAnsi="Times New Roman" w:cs="Times New Roman"/>
          <w:sz w:val="20"/>
          <w:szCs w:val="20"/>
        </w:rPr>
      </w:pPr>
      <w:r>
        <w:rPr>
          <w:rFonts w:ascii="Times New Roman" w:hAnsi="Times New Roman" w:cs="Times New Roman"/>
          <w:sz w:val="20"/>
          <w:szCs w:val="20"/>
        </w:rPr>
        <w:t>Cause: Light exposure induces molecular diffusion or phase separation.</w:t>
      </w:r>
    </w:p>
    <w:p w14:paraId="788AD2B2">
      <w:pPr>
        <w:ind w:firstLine="400" w:firstLineChars="200"/>
        <w:rPr>
          <w:rFonts w:ascii="Times New Roman" w:hAnsi="Times New Roman" w:cs="Times New Roman"/>
          <w:sz w:val="20"/>
          <w:szCs w:val="20"/>
        </w:rPr>
      </w:pPr>
      <w:r>
        <w:rPr>
          <w:rFonts w:ascii="Times New Roman" w:hAnsi="Times New Roman" w:cs="Times New Roman"/>
          <w:sz w:val="20"/>
          <w:szCs w:val="20"/>
        </w:rPr>
        <w:t>Effect: Loss of charge transport pathways and recombination efficiency.</w:t>
      </w:r>
    </w:p>
    <w:p w14:paraId="2D5646BE">
      <w:pPr>
        <w:ind w:firstLine="400" w:firstLineChars="200"/>
        <w:rPr>
          <w:rFonts w:ascii="Times New Roman" w:hAnsi="Times New Roman" w:cs="Times New Roman"/>
          <w:sz w:val="20"/>
          <w:szCs w:val="20"/>
        </w:rPr>
      </w:pPr>
      <w:r>
        <w:rPr>
          <w:rFonts w:hint="eastAsia" w:ascii="Times New Roman" w:hAnsi="Times New Roman" w:cs="Times New Roman"/>
          <w:sz w:val="20"/>
          <w:szCs w:val="20"/>
        </w:rPr>
        <w:t>(5)</w:t>
      </w:r>
      <w:r>
        <w:rPr>
          <w:rFonts w:ascii="Times New Roman" w:hAnsi="Times New Roman" w:cs="Times New Roman"/>
          <w:sz w:val="20"/>
          <w:szCs w:val="20"/>
        </w:rPr>
        <w:t xml:space="preserve"> Interfacial Degradation:</w:t>
      </w:r>
    </w:p>
    <w:p w14:paraId="61E4B5B3">
      <w:pPr>
        <w:ind w:firstLine="400" w:firstLineChars="200"/>
        <w:rPr>
          <w:rFonts w:ascii="Times New Roman" w:hAnsi="Times New Roman" w:cs="Times New Roman"/>
          <w:sz w:val="20"/>
          <w:szCs w:val="20"/>
        </w:rPr>
      </w:pPr>
      <w:r>
        <w:rPr>
          <w:rFonts w:ascii="Times New Roman" w:hAnsi="Times New Roman" w:cs="Times New Roman"/>
          <w:sz w:val="20"/>
          <w:szCs w:val="20"/>
        </w:rPr>
        <w:t>Cause: Reactions between the active layer and electrodes (e.g., diffusion of metal atoms or formation of interfacial traps).</w:t>
      </w:r>
    </w:p>
    <w:p w14:paraId="1E1B6EBB">
      <w:pPr>
        <w:ind w:firstLine="400" w:firstLineChars="200"/>
        <w:rPr>
          <w:rFonts w:ascii="Times New Roman" w:hAnsi="Times New Roman" w:cs="Times New Roman"/>
          <w:sz w:val="20"/>
          <w:szCs w:val="20"/>
        </w:rPr>
      </w:pPr>
      <w:r>
        <w:rPr>
          <w:rFonts w:ascii="Times New Roman" w:hAnsi="Times New Roman" w:cs="Times New Roman"/>
          <w:sz w:val="20"/>
          <w:szCs w:val="20"/>
        </w:rPr>
        <w:t>Effect: Increased recombination and reduced device lifetime.</w:t>
      </w:r>
    </w:p>
    <w:p w14:paraId="468D27EF">
      <w:pPr>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Mitigation Strategies</w:t>
      </w:r>
    </w:p>
    <w:p w14:paraId="3041E074">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Encapsulation:</w:t>
      </w:r>
    </w:p>
    <w:p w14:paraId="17B5619C">
      <w:pPr>
        <w:ind w:firstLine="400" w:firstLineChars="200"/>
        <w:rPr>
          <w:rFonts w:ascii="Times New Roman" w:hAnsi="Times New Roman" w:cs="Times New Roman"/>
          <w:sz w:val="20"/>
          <w:szCs w:val="20"/>
        </w:rPr>
      </w:pPr>
      <w:r>
        <w:rPr>
          <w:rFonts w:ascii="Times New Roman" w:hAnsi="Times New Roman" w:cs="Times New Roman"/>
          <w:sz w:val="20"/>
          <w:szCs w:val="20"/>
        </w:rPr>
        <w:t>Approach: Use barrier layers (e.g., glass, polymer coatings) to prevent oxygen and moisture ingress.</w:t>
      </w:r>
    </w:p>
    <w:p w14:paraId="246E551F">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Material Design:</w:t>
      </w:r>
    </w:p>
    <w:p w14:paraId="37C449A0">
      <w:pPr>
        <w:ind w:firstLine="400" w:firstLineChars="200"/>
        <w:rPr>
          <w:rFonts w:ascii="Times New Roman" w:hAnsi="Times New Roman" w:cs="Times New Roman"/>
          <w:sz w:val="20"/>
          <w:szCs w:val="20"/>
        </w:rPr>
      </w:pPr>
      <w:r>
        <w:rPr>
          <w:rFonts w:ascii="Times New Roman" w:hAnsi="Times New Roman" w:cs="Times New Roman"/>
          <w:sz w:val="20"/>
          <w:szCs w:val="20"/>
        </w:rPr>
        <w:t>Stabilized Materials: Develop donor and acceptor materials with higher chemical and thermal stability.</w:t>
      </w:r>
    </w:p>
    <w:p w14:paraId="5AB29A79">
      <w:pPr>
        <w:ind w:firstLine="400" w:firstLineChars="200"/>
        <w:rPr>
          <w:rFonts w:ascii="Times New Roman" w:hAnsi="Times New Roman" w:cs="Times New Roman"/>
          <w:sz w:val="20"/>
          <w:szCs w:val="20"/>
        </w:rPr>
      </w:pPr>
      <w:r>
        <w:rPr>
          <w:rFonts w:ascii="Times New Roman" w:hAnsi="Times New Roman" w:cs="Times New Roman"/>
          <w:sz w:val="20"/>
          <w:szCs w:val="20"/>
        </w:rPr>
        <w:t>Side-Chain Engineering: Introduce side chains to enhance stability and prevent aggregation.</w:t>
      </w:r>
    </w:p>
    <w:p w14:paraId="68176F47">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Stabilizing Additives:</w:t>
      </w:r>
    </w:p>
    <w:p w14:paraId="6614E597">
      <w:pPr>
        <w:ind w:firstLine="400" w:firstLineChars="200"/>
        <w:rPr>
          <w:rFonts w:ascii="Times New Roman" w:hAnsi="Times New Roman" w:cs="Times New Roman"/>
          <w:sz w:val="20"/>
          <w:szCs w:val="20"/>
        </w:rPr>
      </w:pPr>
      <w:r>
        <w:rPr>
          <w:rFonts w:ascii="Times New Roman" w:hAnsi="Times New Roman" w:cs="Times New Roman"/>
          <w:sz w:val="20"/>
          <w:szCs w:val="20"/>
        </w:rPr>
        <w:t>Approach: Add stabilizers (e.g., antioxidants, UV absorbers) to suppress photooxidation and ROS formation.</w:t>
      </w:r>
    </w:p>
    <w:p w14:paraId="2E84E4F4">
      <w:pPr>
        <w:ind w:firstLine="400" w:firstLineChars="200"/>
        <w:rPr>
          <w:rFonts w:ascii="Times New Roman" w:hAnsi="Times New Roman" w:cs="Times New Roman"/>
          <w:sz w:val="20"/>
          <w:szCs w:val="20"/>
        </w:rPr>
      </w:pPr>
      <w:r>
        <w:rPr>
          <w:rFonts w:hint="eastAsia" w:ascii="Times New Roman" w:hAnsi="Times New Roman" w:cs="Times New Roman"/>
          <w:sz w:val="20"/>
          <w:szCs w:val="20"/>
        </w:rPr>
        <w:t>(4)</w:t>
      </w:r>
      <w:r>
        <w:rPr>
          <w:rFonts w:ascii="Times New Roman" w:hAnsi="Times New Roman" w:cs="Times New Roman"/>
          <w:sz w:val="20"/>
          <w:szCs w:val="20"/>
        </w:rPr>
        <w:t xml:space="preserve"> Optimized Morphology:</w:t>
      </w:r>
    </w:p>
    <w:p w14:paraId="3B501DF6">
      <w:pPr>
        <w:ind w:firstLine="400" w:firstLineChars="200"/>
        <w:rPr>
          <w:rFonts w:ascii="Times New Roman" w:hAnsi="Times New Roman" w:cs="Times New Roman"/>
          <w:sz w:val="20"/>
          <w:szCs w:val="20"/>
        </w:rPr>
      </w:pPr>
      <w:r>
        <w:rPr>
          <w:rFonts w:ascii="Times New Roman" w:hAnsi="Times New Roman" w:cs="Times New Roman"/>
          <w:sz w:val="20"/>
          <w:szCs w:val="20"/>
        </w:rPr>
        <w:t>Approach: Use processing techniques (e.g., solvent additives, thermal annealing) to achieve stable blend morphology.</w:t>
      </w:r>
    </w:p>
    <w:p w14:paraId="375BE5E7">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(5) </w:t>
      </w:r>
      <w:r>
        <w:rPr>
          <w:rFonts w:ascii="Times New Roman" w:hAnsi="Times New Roman" w:cs="Times New Roman"/>
          <w:sz w:val="20"/>
          <w:szCs w:val="20"/>
        </w:rPr>
        <w:t>Interface Engineering:</w:t>
      </w:r>
    </w:p>
    <w:p w14:paraId="5B8F9400">
      <w:pPr>
        <w:ind w:firstLine="400" w:firstLineChars="200"/>
        <w:rPr>
          <w:rFonts w:ascii="Times New Roman" w:hAnsi="Times New Roman" w:cs="Times New Roman"/>
          <w:sz w:val="20"/>
          <w:szCs w:val="20"/>
        </w:rPr>
      </w:pPr>
      <w:r>
        <w:rPr>
          <w:rFonts w:ascii="Times New Roman" w:hAnsi="Times New Roman" w:cs="Times New Roman"/>
          <w:sz w:val="20"/>
          <w:szCs w:val="20"/>
        </w:rPr>
        <w:t>Approach: Use interlayers (e.g., PEDOT: PSS, ZnO) to stabilize the active layer-electrode interface and block harmful reactions.</w:t>
      </w:r>
    </w:p>
    <w:p w14:paraId="29C4B37B">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(6) </w:t>
      </w:r>
      <w:r>
        <w:rPr>
          <w:rFonts w:ascii="Times New Roman" w:hAnsi="Times New Roman" w:cs="Times New Roman"/>
          <w:sz w:val="20"/>
          <w:szCs w:val="20"/>
        </w:rPr>
        <w:t>Reduce Light-Induced Damage:</w:t>
      </w:r>
    </w:p>
    <w:p w14:paraId="7A264F38">
      <w:pPr>
        <w:ind w:firstLine="400" w:firstLineChars="200"/>
        <w:rPr>
          <w:rFonts w:ascii="Times New Roman" w:hAnsi="Times New Roman" w:cs="Times New Roman"/>
          <w:sz w:val="20"/>
          <w:szCs w:val="20"/>
        </w:rPr>
      </w:pPr>
      <w:r>
        <w:rPr>
          <w:rFonts w:ascii="Times New Roman" w:hAnsi="Times New Roman" w:cs="Times New Roman"/>
          <w:sz w:val="20"/>
          <w:szCs w:val="20"/>
        </w:rPr>
        <w:t>Approach: Incorporate UV filters or downshifting layers to absorb harmful UV light.</w:t>
      </w:r>
    </w:p>
    <w:p w14:paraId="407F43AC">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(7) </w:t>
      </w:r>
      <w:r>
        <w:rPr>
          <w:rFonts w:ascii="Times New Roman" w:hAnsi="Times New Roman" w:cs="Times New Roman"/>
          <w:sz w:val="20"/>
          <w:szCs w:val="20"/>
        </w:rPr>
        <w:t>Thermal Management:</w:t>
      </w:r>
    </w:p>
    <w:p w14:paraId="49639B67">
      <w:pPr>
        <w:ind w:firstLine="400" w:firstLineChars="200"/>
        <w:rPr>
          <w:rFonts w:ascii="Times New Roman" w:hAnsi="Times New Roman" w:cs="Times New Roman"/>
          <w:sz w:val="20"/>
          <w:szCs w:val="20"/>
        </w:rPr>
      </w:pPr>
      <w:r>
        <w:rPr>
          <w:rFonts w:ascii="Times New Roman" w:hAnsi="Times New Roman" w:cs="Times New Roman"/>
          <w:sz w:val="20"/>
          <w:szCs w:val="20"/>
        </w:rPr>
        <w:t>Approach: Design heat-dissipating device structures or use thermally stable materials.</w:t>
      </w:r>
    </w:p>
    <w:p w14:paraId="1A387B11">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By combining these strategies, the operational stability and lifetime of organic solar cells can be significantly improved.</w:t>
      </w:r>
    </w:p>
    <w:p w14:paraId="74454738">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B:</w:t>
      </w:r>
    </w:p>
    <w:p w14:paraId="33FC657E">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Material degradation pathways in the photoactive layer involve several mechanisms that compromise the efficiency and stability of organic photovoltaic devices. These include:</w:t>
      </w:r>
    </w:p>
    <w:p w14:paraId="2CC8049E">
      <w:pPr>
        <w:ind w:firstLine="400" w:firstLineChars="200"/>
        <w:rPr>
          <w:rFonts w:ascii="Times New Roman" w:hAnsi="Times New Roman" w:cs="Times New Roman"/>
          <w:sz w:val="20"/>
          <w:szCs w:val="20"/>
        </w:rPr>
      </w:pPr>
      <w:r>
        <w:rPr>
          <w:rFonts w:ascii="Times New Roman" w:hAnsi="Times New Roman" w:cs="Times New Roman"/>
          <w:sz w:val="20"/>
          <w:szCs w:val="20"/>
        </w:rPr>
        <w:t>Photo-Oxidative Degradation: Caused by oxygen and light exposure, leading to reactive oxygen species (ROS) that attack the molecular structure.</w:t>
      </w:r>
    </w:p>
    <w:p w14:paraId="1065DCAC">
      <w:pPr>
        <w:ind w:firstLine="400" w:firstLineChars="200"/>
        <w:rPr>
          <w:rFonts w:ascii="Times New Roman" w:hAnsi="Times New Roman" w:cs="Times New Roman"/>
          <w:sz w:val="20"/>
          <w:szCs w:val="20"/>
        </w:rPr>
      </w:pPr>
      <w:r>
        <w:rPr>
          <w:rFonts w:ascii="Times New Roman" w:hAnsi="Times New Roman" w:cs="Times New Roman"/>
          <w:sz w:val="20"/>
          <w:szCs w:val="20"/>
        </w:rPr>
        <w:t>Thermal Degradation: High temperatures destabilize the morphology and crystallinity of the donor-acceptor blend.</w:t>
      </w:r>
    </w:p>
    <w:p w14:paraId="2ECF5999">
      <w:pPr>
        <w:ind w:firstLine="400" w:firstLineChars="200"/>
        <w:rPr>
          <w:rFonts w:ascii="Times New Roman" w:hAnsi="Times New Roman" w:cs="Times New Roman"/>
          <w:sz w:val="20"/>
          <w:szCs w:val="20"/>
        </w:rPr>
      </w:pPr>
      <w:r>
        <w:rPr>
          <w:rFonts w:ascii="Times New Roman" w:hAnsi="Times New Roman" w:cs="Times New Roman"/>
          <w:sz w:val="20"/>
          <w:szCs w:val="20"/>
        </w:rPr>
        <w:t>Hydrolytic Degradation: Moisture reacts with labile bonds, breaking chemical structures and reducing carrier mobility.</w:t>
      </w:r>
    </w:p>
    <w:p w14:paraId="63AD1560">
      <w:pPr>
        <w:ind w:firstLine="400" w:firstLineChars="200"/>
        <w:rPr>
          <w:rFonts w:ascii="Times New Roman" w:hAnsi="Times New Roman" w:cs="Times New Roman"/>
          <w:sz w:val="20"/>
          <w:szCs w:val="20"/>
        </w:rPr>
      </w:pPr>
      <w:r>
        <w:rPr>
          <w:rFonts w:ascii="Times New Roman" w:hAnsi="Times New Roman" w:cs="Times New Roman"/>
          <w:sz w:val="20"/>
          <w:szCs w:val="20"/>
        </w:rPr>
        <w:t>UV-Induced Degradation: UV photons cause chain scission or isomerization, forming defects and traps.</w:t>
      </w:r>
    </w:p>
    <w:p w14:paraId="0219F911">
      <w:pPr>
        <w:ind w:firstLine="400" w:firstLineChars="200"/>
        <w:rPr>
          <w:rFonts w:ascii="Times New Roman" w:hAnsi="Times New Roman" w:cs="Times New Roman"/>
          <w:sz w:val="20"/>
          <w:szCs w:val="20"/>
        </w:rPr>
      </w:pPr>
      <w:r>
        <w:rPr>
          <w:rFonts w:ascii="Times New Roman" w:hAnsi="Times New Roman" w:cs="Times New Roman"/>
          <w:sz w:val="20"/>
          <w:szCs w:val="20"/>
        </w:rPr>
        <w:t>Morphological Instabilities: Phase separation and aggregation alter the nanoscale morphology, reducing exciton dissociation.</w:t>
      </w:r>
    </w:p>
    <w:p w14:paraId="3974B7F3">
      <w:pPr>
        <w:ind w:firstLine="400" w:firstLineChars="200"/>
        <w:rPr>
          <w:rFonts w:ascii="Times New Roman" w:hAnsi="Times New Roman" w:cs="Times New Roman"/>
          <w:sz w:val="20"/>
          <w:szCs w:val="20"/>
        </w:rPr>
      </w:pPr>
      <w:r>
        <w:rPr>
          <w:rFonts w:ascii="Times New Roman" w:hAnsi="Times New Roman" w:cs="Times New Roman"/>
          <w:sz w:val="20"/>
          <w:szCs w:val="20"/>
        </w:rPr>
        <w:t>Chemical Reactions with Electrodes or Interfaces: Diffusion of electrode materials or reactions at interfaces create recombination centers.</w:t>
      </w:r>
    </w:p>
    <w:p w14:paraId="4DC1B6A7">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Non-Covalent Interaction-Induced Instabilities: Long-term stress or environmental exposure affects molecular stacking and charge mobility.</w:t>
      </w:r>
    </w:p>
    <w:p w14:paraId="04A0984B">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Mitigation strategies include material design (e.g., fluorine substitution), encapsulation, and stabilizing additives to enhance device longevity.</w:t>
      </w:r>
    </w:p>
    <w:p w14:paraId="18FB405B">
      <w:pPr>
        <w:ind w:firstLine="400" w:firstLineChars="200"/>
        <w:rPr>
          <w:rFonts w:ascii="Times New Roman" w:hAnsi="Times New Roman" w:cs="Times New Roman"/>
          <w:sz w:val="20"/>
          <w:szCs w:val="20"/>
        </w:rPr>
      </w:pPr>
      <w:r>
        <w:rPr>
          <w:rFonts w:ascii="Times New Roman" w:hAnsi="Times New Roman" w:cs="Times New Roman"/>
          <w:sz w:val="20"/>
          <w:szCs w:val="20"/>
        </w:rPr>
        <w:t>To mitigate material degradation in organic solar cells, the following strategies can be employed:</w:t>
      </w:r>
    </w:p>
    <w:p w14:paraId="39D901F9">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Encapsulation Layers:</w:t>
      </w:r>
    </w:p>
    <w:p w14:paraId="552D8D4A">
      <w:pPr>
        <w:ind w:firstLine="400" w:firstLineChars="200"/>
        <w:rPr>
          <w:rFonts w:ascii="Times New Roman" w:hAnsi="Times New Roman" w:cs="Times New Roman"/>
          <w:sz w:val="20"/>
          <w:szCs w:val="20"/>
        </w:rPr>
      </w:pPr>
      <w:r>
        <w:rPr>
          <w:rFonts w:ascii="Times New Roman" w:hAnsi="Times New Roman" w:cs="Times New Roman"/>
          <w:sz w:val="20"/>
          <w:szCs w:val="20"/>
        </w:rPr>
        <w:t>Use protective barrier layers to minimize exposure to moisture and oxygen, which are key contributors to organic material degradation.</w:t>
      </w:r>
    </w:p>
    <w:p w14:paraId="4F9235EF">
      <w:pPr>
        <w:ind w:firstLine="400" w:firstLineChars="200"/>
        <w:rPr>
          <w:rFonts w:ascii="Times New Roman" w:hAnsi="Times New Roman" w:cs="Times New Roman"/>
          <w:sz w:val="20"/>
          <w:szCs w:val="20"/>
        </w:rPr>
      </w:pPr>
      <w:r>
        <w:rPr>
          <w:rFonts w:ascii="Times New Roman" w:hAnsi="Times New Roman" w:cs="Times New Roman"/>
          <w:sz w:val="20"/>
          <w:szCs w:val="20"/>
        </w:rPr>
        <w:t>Encapsulation techniques such as thin-film deposition can improve the longevity and reliability of the device.</w:t>
      </w:r>
    </w:p>
    <w:p w14:paraId="2D41504F">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Stable Organic Materials:</w:t>
      </w:r>
    </w:p>
    <w:p w14:paraId="3DB2A544">
      <w:pPr>
        <w:ind w:firstLine="400" w:firstLineChars="200"/>
        <w:rPr>
          <w:rFonts w:ascii="Times New Roman" w:hAnsi="Times New Roman" w:cs="Times New Roman"/>
          <w:sz w:val="20"/>
          <w:szCs w:val="20"/>
        </w:rPr>
      </w:pPr>
      <w:r>
        <w:rPr>
          <w:rFonts w:ascii="Times New Roman" w:hAnsi="Times New Roman" w:cs="Times New Roman"/>
          <w:sz w:val="20"/>
          <w:szCs w:val="20"/>
        </w:rPr>
        <w:t>Develop chemically stable organic materials with resistance to light, thermal, and oxidative degradation.</w:t>
      </w:r>
    </w:p>
    <w:p w14:paraId="097AEEE2">
      <w:pPr>
        <w:ind w:firstLine="400" w:firstLineChars="200"/>
        <w:rPr>
          <w:rFonts w:ascii="Times New Roman" w:hAnsi="Times New Roman" w:cs="Times New Roman"/>
          <w:sz w:val="20"/>
          <w:szCs w:val="20"/>
        </w:rPr>
      </w:pPr>
      <w:r>
        <w:rPr>
          <w:rFonts w:ascii="Times New Roman" w:hAnsi="Times New Roman" w:cs="Times New Roman"/>
          <w:sz w:val="20"/>
          <w:szCs w:val="20"/>
        </w:rPr>
        <w:t>Incorporate fluorinated or stabilized side chains (e.g., fluorinated alkoxybiphenyl chains) to enhance material robustness.</w:t>
      </w:r>
    </w:p>
    <w:p w14:paraId="2A52C47D">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Interface Engineering:</w:t>
      </w:r>
    </w:p>
    <w:p w14:paraId="4448CB0C">
      <w:pPr>
        <w:ind w:firstLine="400" w:firstLineChars="200"/>
        <w:rPr>
          <w:rFonts w:ascii="Times New Roman" w:hAnsi="Times New Roman" w:cs="Times New Roman"/>
          <w:sz w:val="20"/>
          <w:szCs w:val="20"/>
        </w:rPr>
      </w:pPr>
      <w:r>
        <w:rPr>
          <w:rFonts w:ascii="Times New Roman" w:hAnsi="Times New Roman" w:cs="Times New Roman"/>
          <w:sz w:val="20"/>
          <w:szCs w:val="20"/>
        </w:rPr>
        <w:t>Optimize interfacial properties between different layers to suppress unwanted reactions and enhance charge transport.</w:t>
      </w:r>
    </w:p>
    <w:p w14:paraId="6CE8BD7F">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(4) </w:t>
      </w:r>
      <w:r>
        <w:rPr>
          <w:rFonts w:ascii="Times New Roman" w:hAnsi="Times New Roman" w:cs="Times New Roman"/>
          <w:sz w:val="20"/>
          <w:szCs w:val="20"/>
        </w:rPr>
        <w:t>Morphological Control:</w:t>
      </w:r>
    </w:p>
    <w:p w14:paraId="37BAAEB8">
      <w:pPr>
        <w:ind w:firstLine="400" w:firstLineChars="200"/>
        <w:rPr>
          <w:rFonts w:ascii="Times New Roman" w:hAnsi="Times New Roman" w:cs="Times New Roman"/>
          <w:sz w:val="20"/>
          <w:szCs w:val="20"/>
        </w:rPr>
      </w:pPr>
      <w:r>
        <w:rPr>
          <w:rFonts w:ascii="Times New Roman" w:hAnsi="Times New Roman" w:cs="Times New Roman"/>
          <w:sz w:val="20"/>
          <w:szCs w:val="20"/>
        </w:rPr>
        <w:t>Control the molecular arrangement and nanostructure to improve structural stability and charge transport properties.</w:t>
      </w:r>
    </w:p>
    <w:p w14:paraId="5B9F8B02">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(5) </w:t>
      </w:r>
      <w:r>
        <w:rPr>
          <w:rFonts w:ascii="Times New Roman" w:hAnsi="Times New Roman" w:cs="Times New Roman"/>
          <w:sz w:val="20"/>
          <w:szCs w:val="20"/>
        </w:rPr>
        <w:t>Degradation Mechanism Analysis:</w:t>
      </w:r>
    </w:p>
    <w:p w14:paraId="12A4B335">
      <w:pPr>
        <w:ind w:firstLine="400" w:firstLineChars="200"/>
        <w:rPr>
          <w:rFonts w:ascii="Times New Roman" w:hAnsi="Times New Roman" w:cs="Times New Roman"/>
          <w:sz w:val="20"/>
          <w:szCs w:val="20"/>
        </w:rPr>
      </w:pPr>
      <w:r>
        <w:rPr>
          <w:rFonts w:ascii="Times New Roman" w:hAnsi="Times New Roman" w:cs="Times New Roman"/>
          <w:sz w:val="20"/>
          <w:szCs w:val="20"/>
        </w:rPr>
        <w:t>Conduct studies to understand the degradation pathways (e.g., reaction with oxygen or UV exposure) and implement specific mitigation strategies.</w:t>
      </w:r>
    </w:p>
    <w:p w14:paraId="4994E0D2">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(6) </w:t>
      </w:r>
      <w:r>
        <w:rPr>
          <w:rFonts w:ascii="Times New Roman" w:hAnsi="Times New Roman" w:cs="Times New Roman"/>
          <w:sz w:val="20"/>
          <w:szCs w:val="20"/>
        </w:rPr>
        <w:t>Environmental Protection:</w:t>
      </w:r>
    </w:p>
    <w:p w14:paraId="59AB85E4">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Store and operate devices in controlled environments to reduce external stress factors like humidity and extreme temperatures.</w:t>
      </w:r>
    </w:p>
    <w:p w14:paraId="05F0AF14">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4BDC647C">
      <w:pPr>
        <w:ind w:firstLine="400" w:firstLineChars="200"/>
        <w:rPr>
          <w:rFonts w:ascii="Times New Roman" w:hAnsi="Times New Roman" w:cs="Times New Roman"/>
          <w:sz w:val="20"/>
          <w:szCs w:val="20"/>
        </w:rPr>
      </w:pPr>
      <w:r>
        <w:rPr>
          <w:rFonts w:hint="eastAsia" w:ascii="Times New Roman" w:hAnsi="Times New Roman" w:cs="Times New Roman"/>
          <w:sz w:val="20"/>
          <w:szCs w:val="20"/>
        </w:rPr>
        <w:t>Material degradation pathways in the photoactive layer of solar cells are influenced by various environmental factors such as oxygen, moisture, heat, and light. These factors can lead to photochemical degradation, which affects both electron acceptor and donor materials. Common degradation mechanisms include:</w:t>
      </w:r>
    </w:p>
    <w:p w14:paraId="326B5F80">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Moisture: Moisture can penetrate the photoactive layer, leading to hydrolysis and other chemical reactions that degrade the material.</w:t>
      </w:r>
    </w:p>
    <w:p w14:paraId="74997D7F">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Oxygen: Oxygen can react with the photoactive materials, causing oxidation and the formation of non-conductive oxides.</w:t>
      </w:r>
    </w:p>
    <w:p w14:paraId="2C6D71A4">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Heat: Elevated temperatures can accelerate chemical reactions and physical changes in the materials, leading to degradation.</w:t>
      </w:r>
    </w:p>
    <w:p w14:paraId="68CC2B66">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4. Light: Prolonged exposure to light, especially UV radiation, can break chemical bonds and generate reactive species that degrade the materials.</w:t>
      </w:r>
    </w:p>
    <w:p w14:paraId="2DFB2958">
      <w:pPr>
        <w:ind w:firstLine="400" w:firstLineChars="200"/>
        <w:rPr>
          <w:rFonts w:ascii="Times New Roman" w:hAnsi="Times New Roman" w:cs="Times New Roman"/>
          <w:sz w:val="20"/>
          <w:szCs w:val="20"/>
        </w:rPr>
      </w:pPr>
      <w:r>
        <w:rPr>
          <w:rFonts w:hint="eastAsia" w:ascii="Times New Roman" w:hAnsi="Times New Roman" w:cs="Times New Roman"/>
          <w:sz w:val="20"/>
          <w:szCs w:val="20"/>
        </w:rPr>
        <w:t>Mitigation strategies to enhance the stability and longevity of the photoactive layer include:</w:t>
      </w:r>
    </w:p>
    <w:p w14:paraId="0AAFF3F9">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Encapsulation: Using barrier materials to encapsulate the solar cells can protect them from moisture and oxygen.</w:t>
      </w:r>
    </w:p>
    <w:p w14:paraId="21130F83">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Material Engineering: Developing more stable materials that are less susceptible to degradation from environmental factors.</w:t>
      </w:r>
    </w:p>
    <w:p w14:paraId="4B2B3FA8">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Additives: Incorporating stabilizing additives that can scavenge reactive species or enhance the stability of the photoactive materials.</w:t>
      </w:r>
    </w:p>
    <w:p w14:paraId="5D794D6D">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Optimized Device Architecture: Designing device architectures that minimize the exposure of sensitive materials to degrading factors.</w:t>
      </w:r>
    </w:p>
    <w:p w14:paraId="2F50A2AD">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Protective Coatings: Applying UV-blocking and anti-oxidative coatings to protect the photoactive layer from light and oxygen.</w:t>
      </w:r>
    </w:p>
    <w:p w14:paraId="45232C06">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By implementing these strategies, the stability and performance of solar cells can be significantly improved, leading to longer-lasting and more efficient devices.</w:t>
      </w:r>
    </w:p>
    <w:p w14:paraId="7D74DB31">
      <w:pPr>
        <w:pStyle w:val="31"/>
        <w:numPr>
          <w:ilvl w:val="0"/>
          <w:numId w:val="2"/>
        </w:numPr>
        <w:ind w:left="363" w:hanging="363"/>
        <w:outlineLvl w:val="0"/>
        <w:rPr>
          <w:rFonts w:ascii="Times New Roman" w:hAnsi="Times New Roman" w:cs="Times New Roman"/>
          <w:b/>
          <w:bCs/>
          <w:color w:val="2E75B6" w:themeColor="accent5" w:themeShade="BF"/>
          <w:szCs w:val="21"/>
        </w:rPr>
      </w:pPr>
      <w:r>
        <w:rPr>
          <w:rFonts w:ascii="Times New Roman" w:hAnsi="Times New Roman" w:cs="Times New Roman"/>
          <w:b/>
          <w:bCs/>
          <w:color w:val="2E75B6" w:themeColor="accent5" w:themeShade="BF"/>
          <w:szCs w:val="21"/>
        </w:rPr>
        <w:t>Different solvents influence factors for morphology control</w:t>
      </w:r>
    </w:p>
    <w:p w14:paraId="4087EBBB">
      <w:pPr>
        <w:outlineLvl w:val="1"/>
        <w:rPr>
          <w:rFonts w:ascii="Times New Roman" w:hAnsi="Times New Roman" w:cs="Times New Roman"/>
          <w:b/>
          <w:bCs/>
          <w:szCs w:val="21"/>
        </w:rPr>
      </w:pPr>
      <w:bookmarkStart w:id="0" w:name="OLE_LINK1"/>
      <w:r>
        <w:rPr>
          <w:rFonts w:hint="eastAsia" w:ascii="Times New Roman" w:hAnsi="Times New Roman" w:cs="Times New Roman"/>
          <w:b/>
          <w:bCs/>
          <w:szCs w:val="21"/>
        </w:rPr>
        <w:t>Response</w:t>
      </w:r>
      <w:bookmarkEnd w:id="0"/>
      <w:r>
        <w:rPr>
          <w:rFonts w:hint="eastAsia" w:ascii="Times New Roman" w:hAnsi="Times New Roman" w:cs="Times New Roman"/>
          <w:b/>
          <w:bCs/>
          <w:szCs w:val="21"/>
        </w:rPr>
        <w:t xml:space="preserve"> </w:t>
      </w:r>
      <w:r>
        <w:rPr>
          <w:rFonts w:ascii="Times New Roman" w:hAnsi="Times New Roman" w:cs="Times New Roman"/>
          <w:b/>
          <w:bCs/>
          <w:szCs w:val="21"/>
        </w:rPr>
        <w:t>A:</w:t>
      </w:r>
    </w:p>
    <w:p w14:paraId="66B9FC7A">
      <w:pPr>
        <w:ind w:firstLine="400" w:firstLineChars="200"/>
        <w:rPr>
          <w:rFonts w:ascii="Times New Roman" w:hAnsi="Times New Roman" w:cs="Times New Roman"/>
          <w:sz w:val="20"/>
          <w:szCs w:val="20"/>
        </w:rPr>
      </w:pPr>
      <w:r>
        <w:rPr>
          <w:rFonts w:ascii="Times New Roman" w:hAnsi="Times New Roman" w:cs="Times New Roman"/>
          <w:sz w:val="20"/>
          <w:szCs w:val="20"/>
        </w:rPr>
        <w:t>Different solvents influence morphology control through the following factors:</w:t>
      </w:r>
    </w:p>
    <w:p w14:paraId="0817BE7F">
      <w:pPr>
        <w:ind w:firstLine="400" w:firstLineChars="200"/>
        <w:rPr>
          <w:rFonts w:ascii="Times New Roman" w:hAnsi="Times New Roman" w:cs="Times New Roman"/>
          <w:sz w:val="20"/>
          <w:szCs w:val="20"/>
        </w:rPr>
      </w:pPr>
      <w:r>
        <w:rPr>
          <w:rFonts w:ascii="Times New Roman" w:hAnsi="Times New Roman" w:cs="Times New Roman"/>
          <w:sz w:val="20"/>
          <w:szCs w:val="20"/>
        </w:rPr>
        <w:t>1. Solubility: Determines material dispersion and phase separation.</w:t>
      </w:r>
    </w:p>
    <w:p w14:paraId="11F3D060">
      <w:pPr>
        <w:ind w:firstLine="400" w:firstLineChars="200"/>
        <w:rPr>
          <w:rFonts w:ascii="Times New Roman" w:hAnsi="Times New Roman" w:cs="Times New Roman"/>
          <w:sz w:val="20"/>
          <w:szCs w:val="20"/>
        </w:rPr>
      </w:pPr>
      <w:r>
        <w:rPr>
          <w:rFonts w:ascii="Times New Roman" w:hAnsi="Times New Roman" w:cs="Times New Roman"/>
          <w:sz w:val="20"/>
          <w:szCs w:val="20"/>
        </w:rPr>
        <w:t>2. Boiling Point: Affects drying rate; low boiling points lead to fast drying; high boiling points allow better molecular ordering.</w:t>
      </w:r>
    </w:p>
    <w:p w14:paraId="518DBC3B">
      <w:pPr>
        <w:ind w:firstLine="400" w:firstLineChars="200"/>
        <w:rPr>
          <w:rFonts w:ascii="Times New Roman" w:hAnsi="Times New Roman" w:cs="Times New Roman"/>
          <w:sz w:val="20"/>
          <w:szCs w:val="20"/>
        </w:rPr>
      </w:pPr>
      <w:r>
        <w:rPr>
          <w:rFonts w:ascii="Times New Roman" w:hAnsi="Times New Roman" w:cs="Times New Roman"/>
          <w:sz w:val="20"/>
          <w:szCs w:val="20"/>
        </w:rPr>
        <w:t>3. Vapor Pressure: Impacts evaporation speed and kinetic trapping.</w:t>
      </w:r>
    </w:p>
    <w:p w14:paraId="457AF69B">
      <w:pPr>
        <w:ind w:firstLine="400" w:firstLineChars="200"/>
        <w:rPr>
          <w:rFonts w:ascii="Times New Roman" w:hAnsi="Times New Roman" w:cs="Times New Roman"/>
          <w:sz w:val="20"/>
          <w:szCs w:val="20"/>
        </w:rPr>
      </w:pPr>
      <w:r>
        <w:rPr>
          <w:rFonts w:ascii="Times New Roman" w:hAnsi="Times New Roman" w:cs="Times New Roman"/>
          <w:sz w:val="20"/>
          <w:szCs w:val="20"/>
        </w:rPr>
        <w:t>4. Polarity: Influences selective solvation of donor/acceptor materials.</w:t>
      </w:r>
    </w:p>
    <w:p w14:paraId="1953639D">
      <w:pPr>
        <w:ind w:firstLine="400" w:firstLineChars="200"/>
        <w:rPr>
          <w:rFonts w:ascii="Times New Roman" w:hAnsi="Times New Roman" w:cs="Times New Roman"/>
          <w:sz w:val="20"/>
          <w:szCs w:val="20"/>
        </w:rPr>
      </w:pPr>
      <w:r>
        <w:rPr>
          <w:rFonts w:ascii="Times New Roman" w:hAnsi="Times New Roman" w:cs="Times New Roman"/>
          <w:sz w:val="20"/>
          <w:szCs w:val="20"/>
        </w:rPr>
        <w:t>5. Viscosity: Controls film thickness and uniformity during deposition.</w:t>
      </w:r>
    </w:p>
    <w:p w14:paraId="2F214691">
      <w:pPr>
        <w:ind w:firstLine="400" w:firstLineChars="200"/>
        <w:rPr>
          <w:rFonts w:ascii="Times New Roman" w:hAnsi="Times New Roman" w:cs="Times New Roman"/>
          <w:sz w:val="20"/>
          <w:szCs w:val="20"/>
        </w:rPr>
      </w:pPr>
      <w:r>
        <w:rPr>
          <w:rFonts w:ascii="Times New Roman" w:hAnsi="Times New Roman" w:cs="Times New Roman"/>
          <w:sz w:val="20"/>
          <w:szCs w:val="20"/>
        </w:rPr>
        <w:t>6. Selective Solubility: Drives phase separation and domain formation.</w:t>
      </w:r>
    </w:p>
    <w:p w14:paraId="2A9CFBEC">
      <w:pPr>
        <w:ind w:firstLine="400" w:firstLineChars="200"/>
        <w:rPr>
          <w:rFonts w:ascii="Times New Roman" w:hAnsi="Times New Roman" w:cs="Times New Roman"/>
          <w:sz w:val="20"/>
          <w:szCs w:val="20"/>
        </w:rPr>
      </w:pPr>
      <w:r>
        <w:rPr>
          <w:rFonts w:ascii="Times New Roman" w:hAnsi="Times New Roman" w:cs="Times New Roman"/>
          <w:sz w:val="20"/>
          <w:szCs w:val="20"/>
        </w:rPr>
        <w:t>7. Drying Kinetics: Regulates molecular arrangement and crystallization.</w:t>
      </w:r>
    </w:p>
    <w:p w14:paraId="63795F01">
      <w:pPr>
        <w:ind w:firstLine="400" w:firstLineChars="200"/>
        <w:rPr>
          <w:rFonts w:ascii="Times New Roman" w:hAnsi="Times New Roman" w:cs="Times New Roman"/>
          <w:sz w:val="20"/>
          <w:szCs w:val="20"/>
        </w:rPr>
      </w:pPr>
      <w:r>
        <w:rPr>
          <w:rFonts w:ascii="Times New Roman" w:hAnsi="Times New Roman" w:cs="Times New Roman"/>
          <w:sz w:val="20"/>
          <w:szCs w:val="20"/>
        </w:rPr>
        <w:t>8. Additives: Solvent compatibility with additives modifies morphology.</w:t>
      </w:r>
    </w:p>
    <w:p w14:paraId="75C5D655">
      <w:pPr>
        <w:ind w:firstLine="400" w:firstLineChars="200"/>
        <w:rPr>
          <w:rFonts w:ascii="Times New Roman" w:hAnsi="Times New Roman" w:cs="Times New Roman"/>
          <w:sz w:val="20"/>
          <w:szCs w:val="20"/>
        </w:rPr>
      </w:pPr>
      <w:r>
        <w:rPr>
          <w:rFonts w:ascii="Times New Roman" w:hAnsi="Times New Roman" w:cs="Times New Roman"/>
          <w:sz w:val="20"/>
          <w:szCs w:val="20"/>
        </w:rPr>
        <w:t>9. Solvent Mixtures: Combines properties of different solvents for optimized morphology.</w:t>
      </w:r>
    </w:p>
    <w:p w14:paraId="3CA630A7">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These factors collectively affect crystallization, phase separation, and film uniformity critical for device performance.</w:t>
      </w:r>
    </w:p>
    <w:p w14:paraId="64BCC109">
      <w:pPr>
        <w:outlineLvl w:val="1"/>
        <w:rPr>
          <w:rFonts w:ascii="Times New Roman" w:hAnsi="Times New Roman" w:cs="Times New Roman"/>
          <w:b/>
          <w:bCs/>
          <w:szCs w:val="21"/>
        </w:rPr>
      </w:pPr>
      <w:r>
        <w:rPr>
          <w:rFonts w:hint="eastAsia" w:ascii="Times New Roman" w:hAnsi="Times New Roman" w:cs="Times New Roman"/>
          <w:b/>
          <w:bCs/>
          <w:szCs w:val="21"/>
        </w:rPr>
        <w:t>Response</w:t>
      </w:r>
      <w:r>
        <w:rPr>
          <w:rFonts w:ascii="Times New Roman" w:hAnsi="Times New Roman" w:cs="Times New Roman"/>
          <w:b/>
          <w:bCs/>
          <w:szCs w:val="21"/>
        </w:rPr>
        <w:t xml:space="preserve"> B</w:t>
      </w:r>
      <w:r>
        <w:rPr>
          <w:rFonts w:hint="eastAsia" w:ascii="Times New Roman" w:hAnsi="Times New Roman" w:cs="Times New Roman"/>
          <w:b/>
          <w:bCs/>
          <w:szCs w:val="21"/>
        </w:rPr>
        <w:t>:</w:t>
      </w:r>
    </w:p>
    <w:p w14:paraId="14E4D400">
      <w:pPr>
        <w:ind w:firstLine="400" w:firstLineChars="200"/>
        <w:rPr>
          <w:rFonts w:ascii="Times New Roman" w:hAnsi="Times New Roman" w:cs="Times New Roman"/>
          <w:sz w:val="20"/>
          <w:szCs w:val="20"/>
        </w:rPr>
      </w:pPr>
      <w:r>
        <w:rPr>
          <w:rFonts w:ascii="Times New Roman" w:hAnsi="Times New Roman" w:cs="Times New Roman"/>
          <w:sz w:val="20"/>
          <w:szCs w:val="20"/>
        </w:rPr>
        <w:t>The choice of solvents significantly affects the morphology control in organic solar cells (OSCs) by influencing the following factors:</w:t>
      </w:r>
    </w:p>
    <w:p w14:paraId="56096EA7">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Solubility of Active Layer Components:</w:t>
      </w:r>
    </w:p>
    <w:p w14:paraId="42E6F24E">
      <w:pPr>
        <w:ind w:firstLine="400" w:firstLineChars="200"/>
        <w:rPr>
          <w:rFonts w:ascii="Times New Roman" w:hAnsi="Times New Roman" w:cs="Times New Roman"/>
          <w:sz w:val="20"/>
          <w:szCs w:val="20"/>
        </w:rPr>
      </w:pPr>
      <w:r>
        <w:rPr>
          <w:rFonts w:ascii="Times New Roman" w:hAnsi="Times New Roman" w:cs="Times New Roman"/>
          <w:sz w:val="20"/>
          <w:szCs w:val="20"/>
        </w:rPr>
        <w:t>The solvent determines how well the donor and acceptor materials dissolve, which directly impacts the homogeneity of the blend in the active layer.</w:t>
      </w:r>
    </w:p>
    <w:p w14:paraId="30EA7AEB">
      <w:pPr>
        <w:ind w:firstLine="400" w:firstLineChars="200"/>
        <w:rPr>
          <w:rFonts w:ascii="Times New Roman" w:hAnsi="Times New Roman" w:cs="Times New Roman"/>
          <w:sz w:val="20"/>
          <w:szCs w:val="20"/>
        </w:rPr>
      </w:pPr>
      <w:r>
        <w:rPr>
          <w:rFonts w:ascii="Times New Roman" w:hAnsi="Times New Roman" w:cs="Times New Roman"/>
          <w:sz w:val="20"/>
          <w:szCs w:val="20"/>
        </w:rPr>
        <w:t>Balanced solubility helps achieve an even distribution of components, which is essential for efficient charge transfer and separation.</w:t>
      </w:r>
    </w:p>
    <w:p w14:paraId="2903375E">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Crystallinity and Phase Separation:</w:t>
      </w:r>
    </w:p>
    <w:p w14:paraId="7B6FDABA">
      <w:pPr>
        <w:ind w:firstLine="400" w:firstLineChars="200"/>
        <w:rPr>
          <w:rFonts w:ascii="Times New Roman" w:hAnsi="Times New Roman" w:cs="Times New Roman"/>
          <w:sz w:val="20"/>
          <w:szCs w:val="20"/>
        </w:rPr>
      </w:pPr>
      <w:r>
        <w:rPr>
          <w:rFonts w:ascii="Times New Roman" w:hAnsi="Times New Roman" w:cs="Times New Roman"/>
          <w:sz w:val="20"/>
          <w:szCs w:val="20"/>
        </w:rPr>
        <w:t>Solvents with different evaporation rates and boiling points play a role in controlling the crystallinity of the donor and acceptor materials.</w:t>
      </w:r>
    </w:p>
    <w:p w14:paraId="0D26F9A6">
      <w:pPr>
        <w:ind w:firstLine="400" w:firstLineChars="200"/>
        <w:rPr>
          <w:rFonts w:ascii="Times New Roman" w:hAnsi="Times New Roman" w:cs="Times New Roman"/>
          <w:sz w:val="20"/>
          <w:szCs w:val="20"/>
        </w:rPr>
      </w:pPr>
      <w:r>
        <w:rPr>
          <w:rFonts w:ascii="Times New Roman" w:hAnsi="Times New Roman" w:cs="Times New Roman"/>
          <w:sz w:val="20"/>
          <w:szCs w:val="20"/>
        </w:rPr>
        <w:t>Proper phase separation between donor and acceptor components ensures optimal pathways for charge transport while minimizing charge recombination.</w:t>
      </w:r>
    </w:p>
    <w:p w14:paraId="6DCC5E69">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Film Miscibility:</w:t>
      </w:r>
    </w:p>
    <w:p w14:paraId="544ECD11">
      <w:pPr>
        <w:ind w:firstLine="400" w:firstLineChars="200"/>
        <w:rPr>
          <w:rFonts w:ascii="Times New Roman" w:hAnsi="Times New Roman" w:cs="Times New Roman"/>
          <w:sz w:val="20"/>
          <w:szCs w:val="20"/>
        </w:rPr>
      </w:pPr>
      <w:r>
        <w:rPr>
          <w:rFonts w:ascii="Times New Roman" w:hAnsi="Times New Roman" w:cs="Times New Roman"/>
          <w:sz w:val="20"/>
          <w:szCs w:val="20"/>
        </w:rPr>
        <w:t>The solvent dictates the miscibility of the different materials in the active layer. Favorable miscibility assists in achieving a fine nanoscale interpenetrating network, necessary for efficient device performance.</w:t>
      </w:r>
    </w:p>
    <w:p w14:paraId="0C2C60AE">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4. </w:t>
      </w:r>
      <w:r>
        <w:rPr>
          <w:rFonts w:ascii="Times New Roman" w:hAnsi="Times New Roman" w:cs="Times New Roman"/>
          <w:sz w:val="20"/>
          <w:szCs w:val="20"/>
        </w:rPr>
        <w:t>Additive Compatibility:</w:t>
      </w:r>
    </w:p>
    <w:p w14:paraId="1D859FCC">
      <w:pPr>
        <w:ind w:firstLine="400" w:firstLineChars="200"/>
        <w:rPr>
          <w:rFonts w:ascii="Times New Roman" w:hAnsi="Times New Roman" w:cs="Times New Roman"/>
          <w:sz w:val="20"/>
          <w:szCs w:val="20"/>
        </w:rPr>
      </w:pPr>
      <w:r>
        <w:rPr>
          <w:rFonts w:ascii="Times New Roman" w:hAnsi="Times New Roman" w:cs="Times New Roman"/>
          <w:sz w:val="20"/>
          <w:szCs w:val="20"/>
        </w:rPr>
        <w:t>Some solvents work synergistically with additives to improve morphology by optimizing domain sizes and purifying interfaces between donor and acceptor domains.</w:t>
      </w:r>
    </w:p>
    <w:p w14:paraId="5BD64F1E">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5. </w:t>
      </w:r>
      <w:r>
        <w:rPr>
          <w:rFonts w:ascii="Times New Roman" w:hAnsi="Times New Roman" w:cs="Times New Roman"/>
          <w:sz w:val="20"/>
          <w:szCs w:val="20"/>
        </w:rPr>
        <w:t>Processing Conditions:</w:t>
      </w:r>
    </w:p>
    <w:p w14:paraId="4CB4CE70">
      <w:pPr>
        <w:ind w:firstLine="400" w:firstLineChars="200"/>
        <w:rPr>
          <w:rFonts w:ascii="Times New Roman" w:hAnsi="Times New Roman" w:cs="Times New Roman"/>
          <w:sz w:val="20"/>
          <w:szCs w:val="20"/>
        </w:rPr>
      </w:pPr>
      <w:r>
        <w:rPr>
          <w:rFonts w:ascii="Times New Roman" w:hAnsi="Times New Roman" w:cs="Times New Roman"/>
          <w:sz w:val="20"/>
          <w:szCs w:val="20"/>
        </w:rPr>
        <w:t>The choice of solvent influences the drying and annealing process, affecting the final morphology. Slow-drying solvents, for example, allow better molecular ordering and phase separation.</w:t>
      </w:r>
    </w:p>
    <w:p w14:paraId="35D8DAD0">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 xml:space="preserve">By </w:t>
      </w:r>
      <w:r>
        <w:rPr>
          <w:rFonts w:hint="eastAsia" w:ascii="Times New Roman" w:hAnsi="Times New Roman" w:cs="Times New Roman"/>
          <w:sz w:val="20"/>
          <w:szCs w:val="20"/>
        </w:rPr>
        <w:t>c</w:t>
      </w:r>
      <w:r>
        <w:rPr>
          <w:rFonts w:ascii="Times New Roman" w:hAnsi="Times New Roman" w:cs="Times New Roman"/>
          <w:sz w:val="20"/>
          <w:szCs w:val="20"/>
        </w:rPr>
        <w:t>ontrolling these factors, specific solvents or solvent mixtures can be selected to fine-tune the active layer structure, ensuring higher power conversion efficiency (PCE) and stability of the devices.</w:t>
      </w:r>
    </w:p>
    <w:p w14:paraId="4055B08A">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044A2751">
      <w:pPr>
        <w:ind w:firstLine="400" w:firstLineChars="200"/>
        <w:rPr>
          <w:rFonts w:ascii="Times New Roman" w:hAnsi="Times New Roman" w:cs="Times New Roman"/>
          <w:sz w:val="20"/>
          <w:szCs w:val="20"/>
        </w:rPr>
      </w:pPr>
      <w:r>
        <w:rPr>
          <w:rFonts w:hint="eastAsia" w:ascii="Times New Roman" w:hAnsi="Times New Roman" w:cs="Times New Roman"/>
          <w:sz w:val="20"/>
          <w:szCs w:val="20"/>
        </w:rPr>
        <w:t>Different solvents can significantly influence the morphology of materials in various ways, including:</w:t>
      </w:r>
    </w:p>
    <w:p w14:paraId="22B11E59">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Solubility: Different solvents have varying abilities to dissolve materials, which can affect the uniformity and size of the resulting particles or films.</w:t>
      </w:r>
    </w:p>
    <w:p w14:paraId="572253D7">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Evaporation Rate: The rate at which a solvent evaporates can influence the crystallization process and the final morphology of the material. Faster evaporation rates can lead to smaller, more uniform particles, while slower rates can result in larger, more irregular structures.</w:t>
      </w:r>
    </w:p>
    <w:p w14:paraId="73F8D036">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Polarity: The polarity of a solvent can affect the interaction between the solvent and the material, influencing the morphology. Polar solvents can lead to different morphologies compared to non-polar solvents.</w:t>
      </w:r>
    </w:p>
    <w:p w14:paraId="75B9D2D5">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Viscosity: The viscosity of a solvent can impact the flow and spreading of the material, affecting the final morphology. Higher viscosity solvents can lead to thicker films or larger particles.</w:t>
      </w:r>
    </w:p>
    <w:p w14:paraId="4D291F29">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Interfacial Tension: The interfacial tension between the solvent and the material can influence the morphology by affecting the nucleation and growth processes.</w:t>
      </w:r>
    </w:p>
    <w:p w14:paraId="62CC226F">
      <w:pPr>
        <w:ind w:firstLine="400" w:firstLineChars="200"/>
        <w:rPr>
          <w:rFonts w:ascii="Times New Roman" w:hAnsi="Times New Roman" w:cs="Times New Roman"/>
          <w:sz w:val="20"/>
          <w:szCs w:val="20"/>
        </w:rPr>
      </w:pPr>
      <w:r>
        <w:rPr>
          <w:rFonts w:hint="eastAsia" w:ascii="Times New Roman" w:hAnsi="Times New Roman" w:cs="Times New Roman"/>
          <w:sz w:val="20"/>
          <w:szCs w:val="20"/>
        </w:rPr>
        <w:t>6. Solvent-Solvent Interactions: In cases where multiple solvents are used, the interactions between different solvents can also play a role in determining the final morphology.</w:t>
      </w:r>
    </w:p>
    <w:p w14:paraId="12B504EC">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These factors can be manipulated to control the morphology of materials for specific applications, such as in the fabrication of thin films, nanoparticles, or other nanostructures.</w:t>
      </w:r>
    </w:p>
    <w:p w14:paraId="0435CB6B">
      <w:pPr>
        <w:pStyle w:val="31"/>
        <w:numPr>
          <w:ilvl w:val="0"/>
          <w:numId w:val="2"/>
        </w:numPr>
        <w:ind w:left="363" w:hanging="363"/>
        <w:outlineLvl w:val="0"/>
        <w:rPr>
          <w:rFonts w:ascii="Times New Roman" w:hAnsi="Times New Roman" w:cs="Times New Roman"/>
          <w:b/>
          <w:bCs/>
          <w:color w:val="2E75B6" w:themeColor="accent5" w:themeShade="BF"/>
          <w:szCs w:val="21"/>
        </w:rPr>
      </w:pPr>
      <w:r>
        <w:rPr>
          <w:rFonts w:ascii="Times New Roman" w:hAnsi="Times New Roman" w:cs="Times New Roman"/>
          <w:b/>
          <w:bCs/>
          <w:color w:val="2E75B6" w:themeColor="accent5" w:themeShade="BF"/>
          <w:szCs w:val="21"/>
        </w:rPr>
        <w:t>Functions of Interfacial Layers in Organic Solar Cells and Basic Principles of Interfacial Materials Design.</w:t>
      </w:r>
    </w:p>
    <w:p w14:paraId="6DEBBCE0">
      <w:pPr>
        <w:outlineLvl w:val="1"/>
        <w:rPr>
          <w:rFonts w:hint="eastAsia"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A</w:t>
      </w:r>
      <w:r>
        <w:rPr>
          <w:rFonts w:hint="eastAsia" w:ascii="Times New Roman" w:hAnsi="Times New Roman" w:cs="Times New Roman"/>
          <w:b/>
          <w:bCs/>
          <w:szCs w:val="21"/>
        </w:rPr>
        <w:t>:</w:t>
      </w:r>
    </w:p>
    <w:p w14:paraId="28DC6687">
      <w:pPr>
        <w:rPr>
          <w:rFonts w:ascii="Times New Roman" w:hAnsi="Times New Roman" w:cs="Times New Roman"/>
          <w:sz w:val="20"/>
          <w:szCs w:val="20"/>
        </w:rPr>
      </w:pPr>
      <w:r>
        <w:rPr>
          <w:rFonts w:hint="eastAsia" w:ascii="Times New Roman" w:hAnsi="Times New Roman" w:cs="Times New Roman"/>
          <w:sz w:val="20"/>
          <w:szCs w:val="20"/>
        </w:rPr>
        <w:t>1.</w:t>
      </w:r>
      <w:r>
        <w:rPr>
          <w:rFonts w:ascii="Times New Roman" w:hAnsi="Times New Roman" w:cs="Times New Roman"/>
          <w:sz w:val="20"/>
          <w:szCs w:val="20"/>
        </w:rPr>
        <w:t xml:space="preserve"> Functions of Interfacial Layers in Organic Solar Cells:</w:t>
      </w:r>
    </w:p>
    <w:p w14:paraId="2A560284">
      <w:pPr>
        <w:ind w:firstLine="400" w:firstLineChars="200"/>
        <w:rPr>
          <w:rFonts w:ascii="Times New Roman" w:hAnsi="Times New Roman" w:cs="Times New Roman"/>
          <w:sz w:val="20"/>
          <w:szCs w:val="20"/>
        </w:rPr>
      </w:pPr>
      <w:r>
        <w:rPr>
          <w:rFonts w:ascii="Times New Roman" w:hAnsi="Times New Roman" w:cs="Times New Roman"/>
          <w:sz w:val="20"/>
          <w:szCs w:val="20"/>
        </w:rPr>
        <w:t>Charge Collection/Extraction: Facilitate efficient transport of electrons (ETL) or holes (HTL) to electrodes.</w:t>
      </w:r>
    </w:p>
    <w:p w14:paraId="40AB41A4">
      <w:pPr>
        <w:ind w:firstLine="400" w:firstLineChars="200"/>
        <w:rPr>
          <w:rFonts w:ascii="Times New Roman" w:hAnsi="Times New Roman" w:cs="Times New Roman"/>
          <w:sz w:val="20"/>
          <w:szCs w:val="20"/>
        </w:rPr>
      </w:pPr>
      <w:r>
        <w:rPr>
          <w:rFonts w:ascii="Times New Roman" w:hAnsi="Times New Roman" w:cs="Times New Roman"/>
          <w:sz w:val="20"/>
          <w:szCs w:val="20"/>
        </w:rPr>
        <w:t>Energy Level Alignment: Reduce energy barriers by aligning energy levels between active layers and electrodes.</w:t>
      </w:r>
    </w:p>
    <w:p w14:paraId="620528A3">
      <w:pPr>
        <w:ind w:firstLine="400" w:firstLineChars="200"/>
        <w:rPr>
          <w:rFonts w:ascii="Times New Roman" w:hAnsi="Times New Roman" w:cs="Times New Roman"/>
          <w:sz w:val="20"/>
          <w:szCs w:val="20"/>
        </w:rPr>
      </w:pPr>
      <w:r>
        <w:rPr>
          <w:rFonts w:ascii="Times New Roman" w:hAnsi="Times New Roman" w:cs="Times New Roman"/>
          <w:sz w:val="20"/>
          <w:szCs w:val="20"/>
        </w:rPr>
        <w:t>Surface Modification: Improve electrode wettability and adhesion for better film quality.</w:t>
      </w:r>
    </w:p>
    <w:p w14:paraId="3C9B226B">
      <w:pPr>
        <w:ind w:firstLine="400" w:firstLineChars="200"/>
        <w:rPr>
          <w:rFonts w:ascii="Times New Roman" w:hAnsi="Times New Roman" w:cs="Times New Roman"/>
          <w:sz w:val="20"/>
          <w:szCs w:val="20"/>
        </w:rPr>
      </w:pPr>
      <w:r>
        <w:rPr>
          <w:rFonts w:ascii="Times New Roman" w:hAnsi="Times New Roman" w:cs="Times New Roman"/>
          <w:sz w:val="20"/>
          <w:szCs w:val="20"/>
        </w:rPr>
        <w:t>Recombination Suppression: Minimize charge recombination at interfaces.</w:t>
      </w:r>
    </w:p>
    <w:p w14:paraId="268447CD">
      <w:pPr>
        <w:ind w:firstLine="400" w:firstLineChars="200"/>
        <w:rPr>
          <w:rFonts w:ascii="Times New Roman" w:hAnsi="Times New Roman" w:cs="Times New Roman"/>
          <w:sz w:val="20"/>
          <w:szCs w:val="20"/>
        </w:rPr>
      </w:pPr>
      <w:r>
        <w:rPr>
          <w:rFonts w:ascii="Times New Roman" w:hAnsi="Times New Roman" w:cs="Times New Roman"/>
          <w:sz w:val="20"/>
          <w:szCs w:val="20"/>
        </w:rPr>
        <w:t>Stability Enhancement: Protect active layers from degradation caused by oxygen, moisture, or electrode reactions.</w:t>
      </w:r>
    </w:p>
    <w:p w14:paraId="5DA474FE">
      <w:pPr>
        <w:ind w:firstLine="400" w:firstLineChars="200"/>
        <w:rPr>
          <w:rFonts w:ascii="Times New Roman" w:hAnsi="Times New Roman" w:cs="Times New Roman"/>
          <w:sz w:val="20"/>
          <w:szCs w:val="20"/>
        </w:rPr>
      </w:pPr>
      <w:r>
        <w:rPr>
          <w:rFonts w:ascii="Times New Roman" w:hAnsi="Times New Roman" w:cs="Times New Roman"/>
          <w:sz w:val="20"/>
          <w:szCs w:val="20"/>
        </w:rPr>
        <w:t>Work Function Tuning: Adjust electrode work function for improved charge transfer.</w:t>
      </w:r>
    </w:p>
    <w:p w14:paraId="77307FA6">
      <w:pPr>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Basic Principles of Interfacial Materials Design:</w:t>
      </w:r>
    </w:p>
    <w:p w14:paraId="1A9DECE2">
      <w:pPr>
        <w:ind w:firstLine="400" w:firstLineChars="200"/>
        <w:rPr>
          <w:rFonts w:ascii="Times New Roman" w:hAnsi="Times New Roman" w:cs="Times New Roman"/>
          <w:sz w:val="20"/>
          <w:szCs w:val="20"/>
        </w:rPr>
      </w:pPr>
      <w:r>
        <w:rPr>
          <w:rFonts w:ascii="Times New Roman" w:hAnsi="Times New Roman" w:cs="Times New Roman"/>
          <w:sz w:val="20"/>
          <w:szCs w:val="20"/>
        </w:rPr>
        <w:t>Energy Level Matching: Ensure HOMO/LUMO levels align with the active layer for efficient charge transport.</w:t>
      </w:r>
    </w:p>
    <w:p w14:paraId="37954B08">
      <w:pPr>
        <w:ind w:firstLine="400" w:firstLineChars="200"/>
        <w:rPr>
          <w:rFonts w:ascii="Times New Roman" w:hAnsi="Times New Roman" w:cs="Times New Roman"/>
          <w:sz w:val="20"/>
          <w:szCs w:val="20"/>
        </w:rPr>
      </w:pPr>
      <w:r>
        <w:rPr>
          <w:rFonts w:ascii="Times New Roman" w:hAnsi="Times New Roman" w:cs="Times New Roman"/>
          <w:sz w:val="20"/>
          <w:szCs w:val="20"/>
        </w:rPr>
        <w:t>High Conductivity: Use materials with high charge mobility to reduce resistance.</w:t>
      </w:r>
    </w:p>
    <w:p w14:paraId="756C3CD5">
      <w:pPr>
        <w:ind w:firstLine="400" w:firstLineChars="200"/>
        <w:rPr>
          <w:rFonts w:ascii="Times New Roman" w:hAnsi="Times New Roman" w:cs="Times New Roman"/>
          <w:sz w:val="20"/>
          <w:szCs w:val="20"/>
        </w:rPr>
      </w:pPr>
      <w:r>
        <w:rPr>
          <w:rFonts w:ascii="Times New Roman" w:hAnsi="Times New Roman" w:cs="Times New Roman"/>
          <w:sz w:val="20"/>
          <w:szCs w:val="20"/>
        </w:rPr>
        <w:t>Chemical Compatibility: Ensure interfacial materials are chemically inert with adjacent layers.</w:t>
      </w:r>
    </w:p>
    <w:p w14:paraId="5466A9CB">
      <w:pPr>
        <w:ind w:firstLine="400" w:firstLineChars="200"/>
        <w:rPr>
          <w:rFonts w:ascii="Times New Roman" w:hAnsi="Times New Roman" w:cs="Times New Roman"/>
          <w:sz w:val="20"/>
          <w:szCs w:val="20"/>
        </w:rPr>
      </w:pPr>
      <w:r>
        <w:rPr>
          <w:rFonts w:ascii="Times New Roman" w:hAnsi="Times New Roman" w:cs="Times New Roman"/>
          <w:sz w:val="20"/>
          <w:szCs w:val="20"/>
        </w:rPr>
        <w:t>Adhesion Properties: Enhance mechanical stability between layers.</w:t>
      </w:r>
    </w:p>
    <w:p w14:paraId="018CB8AD">
      <w:pPr>
        <w:ind w:firstLine="400" w:firstLineChars="200"/>
        <w:rPr>
          <w:rFonts w:ascii="Times New Roman" w:hAnsi="Times New Roman" w:cs="Times New Roman"/>
          <w:sz w:val="20"/>
          <w:szCs w:val="20"/>
        </w:rPr>
      </w:pPr>
      <w:r>
        <w:rPr>
          <w:rFonts w:ascii="Times New Roman" w:hAnsi="Times New Roman" w:cs="Times New Roman"/>
          <w:sz w:val="20"/>
          <w:szCs w:val="20"/>
        </w:rPr>
        <w:t>Stability: Employ materials resistant to environmental degradation.</w:t>
      </w:r>
    </w:p>
    <w:p w14:paraId="0E9575DB">
      <w:pPr>
        <w:ind w:firstLine="400" w:firstLineChars="200"/>
        <w:rPr>
          <w:rFonts w:ascii="Times New Roman" w:hAnsi="Times New Roman" w:cs="Times New Roman"/>
          <w:sz w:val="20"/>
          <w:szCs w:val="20"/>
        </w:rPr>
      </w:pPr>
      <w:r>
        <w:rPr>
          <w:rFonts w:ascii="Times New Roman" w:hAnsi="Times New Roman" w:cs="Times New Roman"/>
          <w:sz w:val="20"/>
          <w:szCs w:val="20"/>
        </w:rPr>
        <w:t>Solution Processability: Allow easy integration into fabrication processes.</w:t>
      </w:r>
    </w:p>
    <w:p w14:paraId="50DEB227">
      <w:pPr>
        <w:ind w:firstLine="400" w:firstLineChars="200"/>
        <w:rPr>
          <w:rFonts w:ascii="Times New Roman" w:hAnsi="Times New Roman" w:cs="Times New Roman"/>
          <w:sz w:val="20"/>
          <w:szCs w:val="20"/>
        </w:rPr>
      </w:pPr>
      <w:r>
        <w:rPr>
          <w:rFonts w:ascii="Times New Roman" w:hAnsi="Times New Roman" w:cs="Times New Roman"/>
          <w:sz w:val="20"/>
          <w:szCs w:val="20"/>
        </w:rPr>
        <w:t>Thickness Optimization: Design layers thin enough to avoid series resistance but thick enough to cover defects.</w:t>
      </w:r>
    </w:p>
    <w:p w14:paraId="6EAF5677">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These principles ensure efficient, stable, and scalable organic solar cell performance.</w:t>
      </w:r>
    </w:p>
    <w:p w14:paraId="5283AE20">
      <w:pPr>
        <w:outlineLvl w:val="1"/>
        <w:rPr>
          <w:rFonts w:ascii="Times New Roman" w:hAnsi="Times New Roman" w:cs="Times New Roman"/>
          <w:b/>
          <w:bCs/>
          <w:szCs w:val="21"/>
        </w:rPr>
      </w:pPr>
      <w:r>
        <w:rPr>
          <w:rFonts w:hint="eastAsia" w:ascii="Times New Roman" w:hAnsi="Times New Roman" w:cs="Times New Roman"/>
          <w:b/>
          <w:bCs/>
          <w:szCs w:val="21"/>
        </w:rPr>
        <w:t>Response B:</w:t>
      </w:r>
    </w:p>
    <w:p w14:paraId="16F96B8C">
      <w:pPr>
        <w:ind w:firstLine="400" w:firstLineChars="200"/>
        <w:rPr>
          <w:rFonts w:ascii="Times New Roman" w:hAnsi="Times New Roman" w:cs="Times New Roman"/>
          <w:sz w:val="20"/>
          <w:szCs w:val="20"/>
        </w:rPr>
      </w:pPr>
      <w:r>
        <w:rPr>
          <w:rFonts w:ascii="Times New Roman" w:hAnsi="Times New Roman" w:cs="Times New Roman"/>
          <w:sz w:val="20"/>
          <w:szCs w:val="20"/>
        </w:rPr>
        <w:t>The interfacial layers in organic solar cells perform several critical functions that directly influence device efficiency, stability, and performance:</w:t>
      </w:r>
    </w:p>
    <w:p w14:paraId="7A345FF2">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Charge Extraction and Transport:</w:t>
      </w:r>
    </w:p>
    <w:p w14:paraId="4651AFBD">
      <w:pPr>
        <w:ind w:firstLine="400" w:firstLineChars="200"/>
        <w:rPr>
          <w:rFonts w:ascii="Times New Roman" w:hAnsi="Times New Roman" w:cs="Times New Roman"/>
          <w:sz w:val="20"/>
          <w:szCs w:val="20"/>
        </w:rPr>
      </w:pPr>
      <w:r>
        <w:rPr>
          <w:rFonts w:ascii="Times New Roman" w:hAnsi="Times New Roman" w:cs="Times New Roman"/>
          <w:sz w:val="20"/>
          <w:szCs w:val="20"/>
        </w:rPr>
        <w:t>The interfacial layers, such as the electron transport layer (ETL) and the hole transport layer (HTL), facilitate the extraction and transportation of photogenerated charge carriers (electrons and holes).</w:t>
      </w:r>
    </w:p>
    <w:p w14:paraId="46CFC3FF">
      <w:pPr>
        <w:ind w:firstLine="400" w:firstLineChars="200"/>
        <w:rPr>
          <w:rFonts w:ascii="Times New Roman" w:hAnsi="Times New Roman" w:cs="Times New Roman"/>
          <w:sz w:val="20"/>
          <w:szCs w:val="20"/>
        </w:rPr>
      </w:pPr>
      <w:r>
        <w:rPr>
          <w:rFonts w:ascii="Times New Roman" w:hAnsi="Times New Roman" w:cs="Times New Roman"/>
          <w:sz w:val="20"/>
          <w:szCs w:val="20"/>
        </w:rPr>
        <w:t>ETL specifically enables the collection and transport of electrons from the active layer to the electrode while preventing the backflow of holes, reducing recombination losses.</w:t>
      </w:r>
    </w:p>
    <w:p w14:paraId="2B9EDB6A">
      <w:pPr>
        <w:ind w:firstLine="400" w:firstLineChars="200"/>
        <w:rPr>
          <w:rFonts w:ascii="Times New Roman" w:hAnsi="Times New Roman" w:cs="Times New Roman"/>
          <w:sz w:val="20"/>
          <w:szCs w:val="20"/>
        </w:rPr>
      </w:pPr>
      <w:r>
        <w:rPr>
          <w:rFonts w:ascii="Times New Roman" w:hAnsi="Times New Roman" w:cs="Times New Roman"/>
          <w:sz w:val="20"/>
          <w:szCs w:val="20"/>
        </w:rPr>
        <w:t>HTL ensures the efficient collection and transport of holes while blocking electrons, maintaining charge separation.</w:t>
      </w:r>
    </w:p>
    <w:p w14:paraId="223AC545">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Recombination Prevention:</w:t>
      </w:r>
    </w:p>
    <w:p w14:paraId="43AEA056">
      <w:pPr>
        <w:ind w:firstLine="400" w:firstLineChars="200"/>
        <w:rPr>
          <w:rFonts w:ascii="Times New Roman" w:hAnsi="Times New Roman" w:cs="Times New Roman"/>
          <w:sz w:val="20"/>
          <w:szCs w:val="20"/>
        </w:rPr>
      </w:pPr>
      <w:r>
        <w:rPr>
          <w:rFonts w:ascii="Times New Roman" w:hAnsi="Times New Roman" w:cs="Times New Roman"/>
          <w:sz w:val="20"/>
          <w:szCs w:val="20"/>
        </w:rPr>
        <w:t>These layers minimize nonradiative recombination by creating efficient charge-separating interfaces.</w:t>
      </w:r>
    </w:p>
    <w:p w14:paraId="1D49ECE5">
      <w:pPr>
        <w:ind w:firstLine="400" w:firstLineChars="200"/>
        <w:rPr>
          <w:rFonts w:ascii="Times New Roman" w:hAnsi="Times New Roman" w:cs="Times New Roman"/>
          <w:sz w:val="20"/>
          <w:szCs w:val="20"/>
        </w:rPr>
      </w:pPr>
      <w:r>
        <w:rPr>
          <w:rFonts w:ascii="Times New Roman" w:hAnsi="Times New Roman" w:cs="Times New Roman"/>
          <w:sz w:val="20"/>
          <w:szCs w:val="20"/>
        </w:rPr>
        <w:t>They help improve the power conversion efficiency (PCE) by maintaining the separation and flow of charges into their respective electrodes.</w:t>
      </w:r>
    </w:p>
    <w:p w14:paraId="1CBFEA4B">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Energy Level Alignment:</w:t>
      </w:r>
    </w:p>
    <w:p w14:paraId="098C0FCC">
      <w:pPr>
        <w:ind w:firstLine="400" w:firstLineChars="200"/>
        <w:rPr>
          <w:rFonts w:ascii="Times New Roman" w:hAnsi="Times New Roman" w:cs="Times New Roman"/>
          <w:sz w:val="20"/>
          <w:szCs w:val="20"/>
        </w:rPr>
      </w:pPr>
      <w:r>
        <w:rPr>
          <w:rFonts w:ascii="Times New Roman" w:hAnsi="Times New Roman" w:cs="Times New Roman"/>
          <w:sz w:val="20"/>
          <w:szCs w:val="20"/>
        </w:rPr>
        <w:t>Interfacial layers play a role in aligning the energy levels between the active layer and electrodes, reducing potential energy barriers for charge transport.</w:t>
      </w:r>
    </w:p>
    <w:p w14:paraId="5D46C2B3">
      <w:pPr>
        <w:ind w:firstLine="400" w:firstLineChars="200"/>
        <w:rPr>
          <w:rFonts w:ascii="Times New Roman" w:hAnsi="Times New Roman" w:cs="Times New Roman"/>
          <w:sz w:val="20"/>
          <w:szCs w:val="20"/>
        </w:rPr>
      </w:pPr>
      <w:r>
        <w:rPr>
          <w:rFonts w:ascii="Times New Roman" w:hAnsi="Times New Roman" w:cs="Times New Roman"/>
          <w:sz w:val="20"/>
          <w:szCs w:val="20"/>
        </w:rPr>
        <w:t>Proper energy alignment enhances charge injection or collection efficiency and minimizes losses.</w:t>
      </w:r>
    </w:p>
    <w:p w14:paraId="15AE0FE4">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4. </w:t>
      </w:r>
      <w:r>
        <w:rPr>
          <w:rFonts w:ascii="Times New Roman" w:hAnsi="Times New Roman" w:cs="Times New Roman"/>
          <w:sz w:val="20"/>
          <w:szCs w:val="20"/>
        </w:rPr>
        <w:t>Optimization of Morphology and Stability:</w:t>
      </w:r>
    </w:p>
    <w:p w14:paraId="51A451E7">
      <w:pPr>
        <w:ind w:firstLine="400" w:firstLineChars="200"/>
        <w:rPr>
          <w:rFonts w:ascii="Times New Roman" w:hAnsi="Times New Roman" w:cs="Times New Roman"/>
          <w:sz w:val="20"/>
          <w:szCs w:val="20"/>
        </w:rPr>
      </w:pPr>
      <w:r>
        <w:rPr>
          <w:rFonts w:ascii="Times New Roman" w:hAnsi="Times New Roman" w:cs="Times New Roman"/>
          <w:sz w:val="20"/>
          <w:szCs w:val="20"/>
        </w:rPr>
        <w:t>Interfacial layers can influence the morphology of the active layer and interfaces, improving device stability and charge transport.</w:t>
      </w:r>
    </w:p>
    <w:p w14:paraId="27E6EDFA">
      <w:pPr>
        <w:ind w:firstLine="400" w:firstLineChars="200"/>
        <w:rPr>
          <w:rFonts w:ascii="Times New Roman" w:hAnsi="Times New Roman" w:cs="Times New Roman"/>
          <w:sz w:val="20"/>
          <w:szCs w:val="20"/>
        </w:rPr>
      </w:pPr>
      <w:r>
        <w:rPr>
          <w:rFonts w:ascii="Times New Roman" w:hAnsi="Times New Roman" w:cs="Times New Roman"/>
          <w:sz w:val="20"/>
          <w:szCs w:val="20"/>
        </w:rPr>
        <w:t>They mitigate issues related to environmental degradation (e.g., moisture, oxygen, or thermal fluctuations), mechanical instability, and morphological defects.</w:t>
      </w:r>
    </w:p>
    <w:p w14:paraId="139443C0">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5. </w:t>
      </w:r>
      <w:r>
        <w:rPr>
          <w:rFonts w:ascii="Times New Roman" w:hAnsi="Times New Roman" w:cs="Times New Roman"/>
          <w:sz w:val="20"/>
          <w:szCs w:val="20"/>
        </w:rPr>
        <w:t>Light Management:</w:t>
      </w:r>
    </w:p>
    <w:p w14:paraId="39F7CC55">
      <w:pPr>
        <w:ind w:firstLine="400" w:firstLineChars="200"/>
        <w:rPr>
          <w:rFonts w:ascii="Times New Roman" w:hAnsi="Times New Roman" w:cs="Times New Roman"/>
          <w:sz w:val="20"/>
          <w:szCs w:val="20"/>
        </w:rPr>
      </w:pPr>
      <w:r>
        <w:rPr>
          <w:rFonts w:ascii="Times New Roman" w:hAnsi="Times New Roman" w:cs="Times New Roman"/>
          <w:sz w:val="20"/>
          <w:szCs w:val="20"/>
        </w:rPr>
        <w:t>In some configurations, these layers contribute to optimizing light absorption within the active layer by controlling reflectivity or optical interference.</w:t>
      </w:r>
    </w:p>
    <w:p w14:paraId="651A5A19">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6. </w:t>
      </w:r>
      <w:r>
        <w:rPr>
          <w:rFonts w:ascii="Times New Roman" w:hAnsi="Times New Roman" w:cs="Times New Roman"/>
          <w:sz w:val="20"/>
          <w:szCs w:val="20"/>
        </w:rPr>
        <w:t>Encapsulation and Protection:</w:t>
      </w:r>
    </w:p>
    <w:p w14:paraId="6403C4BB">
      <w:pPr>
        <w:ind w:firstLine="400" w:firstLineChars="200"/>
        <w:rPr>
          <w:rFonts w:ascii="Times New Roman" w:hAnsi="Times New Roman" w:cs="Times New Roman"/>
          <w:sz w:val="20"/>
          <w:szCs w:val="20"/>
        </w:rPr>
      </w:pPr>
      <w:r>
        <w:rPr>
          <w:rFonts w:ascii="Times New Roman" w:hAnsi="Times New Roman" w:cs="Times New Roman"/>
          <w:sz w:val="20"/>
          <w:szCs w:val="20"/>
        </w:rPr>
        <w:t>Interfacial layers can improve the robustness of organic solar cells by serving as a barrier against external factors such as humidity, oxygen, and mechanical stress, thus prolonging the operational lifetime of the cells.</w:t>
      </w:r>
    </w:p>
    <w:p w14:paraId="0D71355E">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These roles underscore the importance of careful design and engineering of interfacial layers to maximize the efficiency, stability, and practicality of organic photovoltaic systems.</w:t>
      </w:r>
    </w:p>
    <w:p w14:paraId="421B3A72">
      <w:pPr>
        <w:ind w:firstLine="400" w:firstLineChars="200"/>
        <w:rPr>
          <w:rFonts w:ascii="Times New Roman" w:hAnsi="Times New Roman" w:cs="Times New Roman"/>
          <w:sz w:val="20"/>
          <w:szCs w:val="20"/>
        </w:rPr>
      </w:pPr>
      <w:r>
        <w:rPr>
          <w:rFonts w:ascii="Times New Roman" w:hAnsi="Times New Roman" w:cs="Times New Roman"/>
          <w:sz w:val="20"/>
          <w:szCs w:val="20"/>
        </w:rPr>
        <w:t>Basic Principles of Interfacial Materials Design:</w:t>
      </w:r>
    </w:p>
    <w:p w14:paraId="299DFA23">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Interfacial Engineering:</w:t>
      </w:r>
    </w:p>
    <w:p w14:paraId="2C91D893">
      <w:pPr>
        <w:ind w:firstLine="400" w:firstLineChars="200"/>
        <w:rPr>
          <w:rFonts w:ascii="Times New Roman" w:hAnsi="Times New Roman" w:cs="Times New Roman"/>
          <w:sz w:val="20"/>
          <w:szCs w:val="20"/>
        </w:rPr>
      </w:pPr>
      <w:r>
        <w:rPr>
          <w:rFonts w:ascii="Times New Roman" w:hAnsi="Times New Roman" w:cs="Times New Roman"/>
          <w:sz w:val="20"/>
          <w:szCs w:val="20"/>
        </w:rPr>
        <w:t>The modification of interfaces between different material layers to enhance compatibility, reduce defects, and improve device performance.</w:t>
      </w:r>
    </w:p>
    <w:p w14:paraId="722E3A4B">
      <w:pPr>
        <w:ind w:firstLine="400" w:firstLineChars="200"/>
        <w:rPr>
          <w:rFonts w:ascii="Times New Roman" w:hAnsi="Times New Roman" w:cs="Times New Roman"/>
          <w:sz w:val="20"/>
          <w:szCs w:val="20"/>
        </w:rPr>
      </w:pPr>
      <w:r>
        <w:rPr>
          <w:rFonts w:ascii="Times New Roman" w:hAnsi="Times New Roman" w:cs="Times New Roman"/>
          <w:sz w:val="20"/>
          <w:szCs w:val="20"/>
        </w:rPr>
        <w:t>Involves tailoring surface energies to optimize charge transfer and reduce recombination at interfaces.</w:t>
      </w:r>
    </w:p>
    <w:p w14:paraId="17C48FCA">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Energy Level Alignment:</w:t>
      </w:r>
    </w:p>
    <w:p w14:paraId="6ACCE603">
      <w:pPr>
        <w:ind w:firstLine="400" w:firstLineChars="200"/>
        <w:rPr>
          <w:rFonts w:ascii="Times New Roman" w:hAnsi="Times New Roman" w:cs="Times New Roman"/>
          <w:sz w:val="20"/>
          <w:szCs w:val="20"/>
        </w:rPr>
      </w:pPr>
      <w:r>
        <w:rPr>
          <w:rFonts w:ascii="Times New Roman" w:hAnsi="Times New Roman" w:cs="Times New Roman"/>
          <w:sz w:val="20"/>
          <w:szCs w:val="20"/>
        </w:rPr>
        <w:t>Proper alignment of energy levels (HOMO and LUMO) at the interface ensures efficient charge extraction or injection.</w:t>
      </w:r>
    </w:p>
    <w:p w14:paraId="51A0F2AE">
      <w:pPr>
        <w:ind w:firstLine="400" w:firstLineChars="200"/>
        <w:rPr>
          <w:rFonts w:ascii="Times New Roman" w:hAnsi="Times New Roman" w:cs="Times New Roman"/>
          <w:sz w:val="20"/>
          <w:szCs w:val="20"/>
        </w:rPr>
      </w:pPr>
      <w:r>
        <w:rPr>
          <w:rFonts w:ascii="Times New Roman" w:hAnsi="Times New Roman" w:cs="Times New Roman"/>
          <w:sz w:val="20"/>
          <w:szCs w:val="20"/>
        </w:rPr>
        <w:t>A mismatch in energy levels can lead to barriers for charge carriers, reducing device efficiency.</w:t>
      </w:r>
    </w:p>
    <w:p w14:paraId="39854715">
      <w:pPr>
        <w:ind w:firstLine="400" w:firstLineChars="200"/>
        <w:rPr>
          <w:rFonts w:hint="eastAsia"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Stability and Passivation:</w:t>
      </w:r>
    </w:p>
    <w:p w14:paraId="4904C286">
      <w:pPr>
        <w:ind w:firstLine="400" w:firstLineChars="200"/>
        <w:rPr>
          <w:rFonts w:ascii="Times New Roman" w:hAnsi="Times New Roman" w:cs="Times New Roman"/>
          <w:sz w:val="20"/>
          <w:szCs w:val="20"/>
        </w:rPr>
      </w:pPr>
      <w:r>
        <w:rPr>
          <w:rFonts w:ascii="Times New Roman" w:hAnsi="Times New Roman" w:cs="Times New Roman"/>
          <w:sz w:val="20"/>
          <w:szCs w:val="20"/>
        </w:rPr>
        <w:t>Interfaces should remain stable under operating conditions to prevent degradation.</w:t>
      </w:r>
    </w:p>
    <w:p w14:paraId="56A77CF9">
      <w:pPr>
        <w:ind w:firstLine="400" w:firstLineChars="200"/>
        <w:rPr>
          <w:rFonts w:ascii="Times New Roman" w:hAnsi="Times New Roman" w:cs="Times New Roman"/>
          <w:sz w:val="20"/>
          <w:szCs w:val="20"/>
        </w:rPr>
      </w:pPr>
      <w:r>
        <w:rPr>
          <w:rFonts w:ascii="Times New Roman" w:hAnsi="Times New Roman" w:cs="Times New Roman"/>
          <w:sz w:val="20"/>
          <w:szCs w:val="20"/>
        </w:rPr>
        <w:t>Chemical passivation techniques (e.g., use of self-assembled monolayers, SAMs) reduce interfacial defects that serve as recombination centers.</w:t>
      </w:r>
    </w:p>
    <w:p w14:paraId="24C1BA74">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4. </w:t>
      </w:r>
      <w:r>
        <w:rPr>
          <w:rFonts w:ascii="Times New Roman" w:hAnsi="Times New Roman" w:cs="Times New Roman"/>
          <w:sz w:val="20"/>
          <w:szCs w:val="20"/>
        </w:rPr>
        <w:t>Surface Morphology Control:</w:t>
      </w:r>
    </w:p>
    <w:p w14:paraId="371AB5B4">
      <w:pPr>
        <w:ind w:firstLine="400" w:firstLineChars="200"/>
        <w:rPr>
          <w:rFonts w:ascii="Times New Roman" w:hAnsi="Times New Roman" w:cs="Times New Roman"/>
          <w:sz w:val="20"/>
          <w:szCs w:val="20"/>
        </w:rPr>
      </w:pPr>
      <w:r>
        <w:rPr>
          <w:rFonts w:ascii="Times New Roman" w:hAnsi="Times New Roman" w:cs="Times New Roman"/>
          <w:sz w:val="20"/>
          <w:szCs w:val="20"/>
        </w:rPr>
        <w:t>Controlling roughness and surface features is critical to ensure intimate contact between layers, enhancing charge transport.</w:t>
      </w:r>
    </w:p>
    <w:p w14:paraId="16B991C3">
      <w:pPr>
        <w:ind w:firstLine="400" w:firstLineChars="200"/>
        <w:rPr>
          <w:rFonts w:ascii="Times New Roman" w:hAnsi="Times New Roman" w:cs="Times New Roman"/>
          <w:sz w:val="20"/>
          <w:szCs w:val="20"/>
        </w:rPr>
      </w:pPr>
      <w:r>
        <w:rPr>
          <w:rFonts w:ascii="Times New Roman" w:hAnsi="Times New Roman" w:cs="Times New Roman"/>
          <w:sz w:val="20"/>
          <w:szCs w:val="20"/>
        </w:rPr>
        <w:t>Use of nanostructured or patterned interfacial layers improves device performance.</w:t>
      </w:r>
    </w:p>
    <w:p w14:paraId="37EAD7CF">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5. </w:t>
      </w:r>
      <w:r>
        <w:rPr>
          <w:rFonts w:ascii="Times New Roman" w:hAnsi="Times New Roman" w:cs="Times New Roman"/>
          <w:sz w:val="20"/>
          <w:szCs w:val="20"/>
        </w:rPr>
        <w:t>Dipole Layer Introduction:</w:t>
      </w:r>
    </w:p>
    <w:p w14:paraId="4765E210">
      <w:pPr>
        <w:ind w:firstLine="400" w:firstLineChars="200"/>
        <w:rPr>
          <w:rFonts w:ascii="Times New Roman" w:hAnsi="Times New Roman" w:cs="Times New Roman"/>
          <w:sz w:val="20"/>
          <w:szCs w:val="20"/>
        </w:rPr>
      </w:pPr>
      <w:r>
        <w:rPr>
          <w:rFonts w:ascii="Times New Roman" w:hAnsi="Times New Roman" w:cs="Times New Roman"/>
          <w:sz w:val="20"/>
          <w:szCs w:val="20"/>
        </w:rPr>
        <w:t>Dipole-inducing interfacial materials (SAMs, polymers) can modify work functions to promote better energy-band alignment.</w:t>
      </w:r>
    </w:p>
    <w:p w14:paraId="2A9E4CB1">
      <w:pPr>
        <w:ind w:firstLine="400" w:firstLineChars="200"/>
        <w:rPr>
          <w:rFonts w:ascii="Times New Roman" w:hAnsi="Times New Roman" w:cs="Times New Roman"/>
          <w:sz w:val="20"/>
          <w:szCs w:val="20"/>
        </w:rPr>
      </w:pPr>
      <w:r>
        <w:rPr>
          <w:rFonts w:ascii="Times New Roman" w:hAnsi="Times New Roman" w:cs="Times New Roman"/>
          <w:sz w:val="20"/>
          <w:szCs w:val="20"/>
        </w:rPr>
        <w:t>This can reduce charge-injection barriers improving overall efficiency.</w:t>
      </w:r>
    </w:p>
    <w:p w14:paraId="555CACE9">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6. </w:t>
      </w:r>
      <w:r>
        <w:rPr>
          <w:rFonts w:ascii="Times New Roman" w:hAnsi="Times New Roman" w:cs="Times New Roman"/>
          <w:sz w:val="20"/>
          <w:szCs w:val="20"/>
        </w:rPr>
        <w:t>Optical Transparency:</w:t>
      </w:r>
    </w:p>
    <w:p w14:paraId="5F6240C8">
      <w:pPr>
        <w:ind w:firstLine="400" w:firstLineChars="200"/>
        <w:rPr>
          <w:rFonts w:ascii="Times New Roman" w:hAnsi="Times New Roman" w:cs="Times New Roman"/>
          <w:sz w:val="20"/>
          <w:szCs w:val="20"/>
        </w:rPr>
      </w:pPr>
      <w:r>
        <w:rPr>
          <w:rFonts w:ascii="Times New Roman" w:hAnsi="Times New Roman" w:cs="Times New Roman"/>
          <w:sz w:val="20"/>
          <w:szCs w:val="20"/>
        </w:rPr>
        <w:t>In optoelectronic applications (e.g., solar cells, LEDs), interfacial materials should allow light transmission without significant absorption or scattering losses.</w:t>
      </w:r>
    </w:p>
    <w:p w14:paraId="053261CD">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7. </w:t>
      </w:r>
      <w:r>
        <w:rPr>
          <w:rFonts w:ascii="Times New Roman" w:hAnsi="Times New Roman" w:cs="Times New Roman"/>
          <w:sz w:val="20"/>
          <w:szCs w:val="20"/>
        </w:rPr>
        <w:t>Charge Transport Enhancement:</w:t>
      </w:r>
    </w:p>
    <w:p w14:paraId="78DE9ED4">
      <w:pPr>
        <w:ind w:firstLine="400" w:firstLineChars="200"/>
        <w:rPr>
          <w:rFonts w:ascii="Times New Roman" w:hAnsi="Times New Roman" w:cs="Times New Roman"/>
          <w:sz w:val="20"/>
          <w:szCs w:val="20"/>
        </w:rPr>
      </w:pPr>
      <w:r>
        <w:rPr>
          <w:rFonts w:ascii="Times New Roman" w:hAnsi="Times New Roman" w:cs="Times New Roman"/>
          <w:sz w:val="20"/>
          <w:szCs w:val="20"/>
        </w:rPr>
        <w:t>Materials with high carrier mobility can be used to facilitate efficient transfer of electrons and holes.</w:t>
      </w:r>
    </w:p>
    <w:p w14:paraId="0F803569">
      <w:pPr>
        <w:ind w:firstLine="400" w:firstLineChars="200"/>
        <w:rPr>
          <w:rFonts w:ascii="Times New Roman" w:hAnsi="Times New Roman" w:cs="Times New Roman"/>
          <w:sz w:val="20"/>
          <w:szCs w:val="20"/>
        </w:rPr>
      </w:pPr>
      <w:r>
        <w:rPr>
          <w:rFonts w:ascii="Times New Roman" w:hAnsi="Times New Roman" w:cs="Times New Roman"/>
          <w:sz w:val="20"/>
          <w:szCs w:val="20"/>
        </w:rPr>
        <w:t>Example: Transition-metal oxides, conducting polymers, or 2D materials compactly integrated at interfaces.</w:t>
      </w:r>
    </w:p>
    <w:p w14:paraId="0D91F4D9">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8. </w:t>
      </w:r>
      <w:r>
        <w:rPr>
          <w:rFonts w:ascii="Times New Roman" w:hAnsi="Times New Roman" w:cs="Times New Roman"/>
          <w:sz w:val="20"/>
          <w:szCs w:val="20"/>
        </w:rPr>
        <w:t>Facilitating Polarity of Contacts:</w:t>
      </w:r>
    </w:p>
    <w:p w14:paraId="336AD929">
      <w:pPr>
        <w:ind w:firstLine="400" w:firstLineChars="200"/>
        <w:rPr>
          <w:rFonts w:ascii="Times New Roman" w:hAnsi="Times New Roman" w:cs="Times New Roman"/>
          <w:sz w:val="20"/>
          <w:szCs w:val="20"/>
        </w:rPr>
      </w:pPr>
      <w:r>
        <w:rPr>
          <w:rFonts w:ascii="Times New Roman" w:hAnsi="Times New Roman" w:cs="Times New Roman"/>
          <w:sz w:val="20"/>
          <w:szCs w:val="20"/>
        </w:rPr>
        <w:t>Tailored interfacial materials allow selective hole or electron transport at respective electrodes, contributing to enhanced charge-collection efficiency.</w:t>
      </w:r>
    </w:p>
    <w:p w14:paraId="6BC57A7E">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9. </w:t>
      </w:r>
      <w:r>
        <w:rPr>
          <w:rFonts w:ascii="Times New Roman" w:hAnsi="Times New Roman" w:cs="Times New Roman"/>
          <w:sz w:val="20"/>
          <w:szCs w:val="20"/>
        </w:rPr>
        <w:t>Chemical Compatibility:</w:t>
      </w:r>
    </w:p>
    <w:p w14:paraId="11F918A1">
      <w:pPr>
        <w:ind w:firstLine="400" w:firstLineChars="200"/>
        <w:rPr>
          <w:rFonts w:ascii="Times New Roman" w:hAnsi="Times New Roman" w:cs="Times New Roman"/>
          <w:sz w:val="20"/>
          <w:szCs w:val="20"/>
        </w:rPr>
      </w:pPr>
      <w:r>
        <w:rPr>
          <w:rFonts w:ascii="Times New Roman" w:hAnsi="Times New Roman" w:cs="Times New Roman"/>
          <w:sz w:val="20"/>
          <w:szCs w:val="20"/>
        </w:rPr>
        <w:t>Interfacial materials should not chemically degrade or interact negatively with adjacent layers, maintaining integrity over time.</w:t>
      </w:r>
    </w:p>
    <w:p w14:paraId="249CF557">
      <w:pPr>
        <w:ind w:firstLine="400" w:firstLineChars="200"/>
        <w:rPr>
          <w:rFonts w:ascii="Times New Roman" w:hAnsi="Times New Roman" w:cs="Times New Roman"/>
          <w:sz w:val="20"/>
          <w:szCs w:val="20"/>
        </w:rPr>
      </w:pPr>
      <w:r>
        <w:rPr>
          <w:rFonts w:ascii="Times New Roman" w:hAnsi="Times New Roman" w:cs="Times New Roman"/>
          <w:sz w:val="20"/>
          <w:szCs w:val="20"/>
        </w:rPr>
        <w:t>Examples:</w:t>
      </w:r>
      <w:r>
        <w:rPr>
          <w:rFonts w:hint="eastAsia" w:ascii="Times New Roman" w:hAnsi="Times New Roman" w:cs="Times New Roman"/>
          <w:sz w:val="20"/>
          <w:szCs w:val="20"/>
        </w:rPr>
        <w:t xml:space="preserve"> </w:t>
      </w:r>
      <w:r>
        <w:rPr>
          <w:rFonts w:ascii="Times New Roman" w:hAnsi="Times New Roman" w:cs="Times New Roman"/>
          <w:sz w:val="20"/>
          <w:szCs w:val="20"/>
        </w:rPr>
        <w:t>Use of PEDOT:</w:t>
      </w:r>
      <w:r>
        <w:rPr>
          <w:rFonts w:hint="eastAsia" w:ascii="Times New Roman" w:hAnsi="Times New Roman" w:cs="Times New Roman"/>
          <w:sz w:val="20"/>
          <w:szCs w:val="20"/>
        </w:rPr>
        <w:t xml:space="preserve"> </w:t>
      </w:r>
      <w:r>
        <w:rPr>
          <w:rFonts w:ascii="Times New Roman" w:hAnsi="Times New Roman" w:cs="Times New Roman"/>
          <w:sz w:val="20"/>
          <w:szCs w:val="20"/>
        </w:rPr>
        <w:t>PSS as a hole transport material for polymer-based solar cells.</w:t>
      </w:r>
      <w:r>
        <w:rPr>
          <w:rFonts w:hint="eastAsia" w:ascii="Times New Roman" w:hAnsi="Times New Roman" w:cs="Times New Roman"/>
          <w:sz w:val="20"/>
          <w:szCs w:val="20"/>
        </w:rPr>
        <w:t xml:space="preserve"> </w:t>
      </w:r>
      <w:r>
        <w:rPr>
          <w:rFonts w:ascii="Times New Roman" w:hAnsi="Times New Roman" w:cs="Times New Roman"/>
          <w:sz w:val="20"/>
          <w:szCs w:val="20"/>
        </w:rPr>
        <w:t>Titanium oxide (TiO</w:t>
      </w:r>
      <w:r>
        <w:rPr>
          <w:rFonts w:hint="eastAsia" w:ascii="Times New Roman" w:hAnsi="Times New Roman" w:cs="Times New Roman"/>
          <w:sz w:val="20"/>
          <w:szCs w:val="20"/>
          <w:vertAlign w:val="subscript"/>
        </w:rPr>
        <w:t>2</w:t>
      </w:r>
      <w:r>
        <w:rPr>
          <w:rFonts w:ascii="Times New Roman" w:hAnsi="Times New Roman" w:cs="Times New Roman"/>
          <w:sz w:val="20"/>
          <w:szCs w:val="20"/>
        </w:rPr>
        <w:t>) or Zinc oxide (ZnO) as electron transport layers in perovskite solar cells.</w:t>
      </w:r>
    </w:p>
    <w:p w14:paraId="5198F9A2">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These principles are central to optimizing the performance, stability, and scalability of devices, including photovoltaics, LEDs, and transistors, by targeting the physical and chemical properties at material interfaces.</w:t>
      </w:r>
    </w:p>
    <w:p w14:paraId="576879EF">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781D0818">
      <w:pPr>
        <w:ind w:firstLine="400" w:firstLineChars="200"/>
        <w:rPr>
          <w:rFonts w:ascii="Times New Roman" w:hAnsi="Times New Roman" w:cs="Times New Roman"/>
          <w:sz w:val="20"/>
          <w:szCs w:val="20"/>
        </w:rPr>
      </w:pPr>
      <w:r>
        <w:rPr>
          <w:rFonts w:hint="eastAsia" w:ascii="Times New Roman" w:hAnsi="Times New Roman" w:cs="Times New Roman"/>
          <w:sz w:val="20"/>
          <w:szCs w:val="20"/>
        </w:rPr>
        <w:t>Interfacial layers in organic solar cells (OSCs) play crucial roles in determining the efficiency and stability of the devices. These layers are positioned between the active layer and the electrodes and serve several key functions:</w:t>
      </w:r>
    </w:p>
    <w:p w14:paraId="5E9BB788">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Charge Extraction and Transport: Interfacial layers facilitate the extraction of charges (electrons and holes) from the active layer to the respective electrodes, thereby reducing recombination losses and improving overall device efficiency.</w:t>
      </w:r>
    </w:p>
    <w:p w14:paraId="412C1B84">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Energy Level Alignment: They help in aligning the energy levels between the active layer and the electrodes, which minimizes energy barriers and enhances charge transfer.</w:t>
      </w:r>
    </w:p>
    <w:p w14:paraId="796F7BFA">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Reduction of Energy Losses: By reducing the energy gap between the energy levels of semiconducting materials and electrodes, interfacial layers help in minimizing energy losses during charge transport.</w:t>
      </w:r>
    </w:p>
    <w:p w14:paraId="087E7332">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Stability Enhancement: Properly designed interfacial layers can protect the active layer from degradation caused by environmental factors, thus enhancing the stability and lifespan of the solar cells.</w:t>
      </w:r>
    </w:p>
    <w:p w14:paraId="1895A783">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5. Surface Modification: They can modify the surface properties of electrodes, improving the wettability and adhesion of the active layer, which is crucial for the fabrication process.</w:t>
      </w:r>
    </w:p>
    <w:p w14:paraId="375EBC38">
      <w:pPr>
        <w:ind w:firstLine="400" w:firstLineChars="200"/>
        <w:rPr>
          <w:rFonts w:ascii="Times New Roman" w:hAnsi="Times New Roman" w:cs="Times New Roman"/>
          <w:sz w:val="20"/>
          <w:szCs w:val="20"/>
        </w:rPr>
      </w:pPr>
      <w:r>
        <w:rPr>
          <w:rFonts w:hint="eastAsia" w:ascii="Times New Roman" w:hAnsi="Times New Roman" w:cs="Times New Roman"/>
          <w:sz w:val="20"/>
          <w:szCs w:val="20"/>
        </w:rPr>
        <w:t>Basic Principles of Interfacial Materials Design:</w:t>
      </w:r>
    </w:p>
    <w:p w14:paraId="3F55E488">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Material Selection: The choice of materials for interfacial layers should ensure good electrical conductivity, appropriate energy level alignment, and chemical stability.</w:t>
      </w:r>
    </w:p>
    <w:p w14:paraId="062BEAA3">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Thickness Optimization: The thickness of interfacial layers should be optimized to balance between effective charge transport and minimal resistance.</w:t>
      </w:r>
    </w:p>
    <w:p w14:paraId="48C1E812">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Chemical Compatibility: Interfacial materials should be chemically compatible with both the active layer and the electrodes to prevent unwanted reactions that could degrade the device performance.</w:t>
      </w:r>
    </w:p>
    <w:p w14:paraId="1D034E75">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Morphology Control: The morphology of interfacial layers should be controlled to ensure uniform coverage and intimate contact with adjacent layers, which is essential for efficient charge transport.</w:t>
      </w:r>
    </w:p>
    <w:p w14:paraId="05DC81E1">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Functionalization: Incorporating functional groups or dopants can enhance the electronic properties and stability of interfacial layers.</w:t>
      </w:r>
    </w:p>
    <w:p w14:paraId="31351A4A">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By adhering to these principles, researchers can design interfacial materials that significantly improve the performance and durability of organic solar cells.</w:t>
      </w:r>
    </w:p>
    <w:p w14:paraId="7C0441FD">
      <w:pPr>
        <w:pStyle w:val="31"/>
        <w:numPr>
          <w:ilvl w:val="0"/>
          <w:numId w:val="2"/>
        </w:numPr>
        <w:ind w:left="363" w:hanging="363"/>
        <w:outlineLvl w:val="0"/>
        <w:rPr>
          <w:rFonts w:ascii="Times New Roman" w:hAnsi="Times New Roman" w:cs="Times New Roman"/>
          <w:b/>
          <w:bCs/>
          <w:color w:val="2E75B6" w:themeColor="accent5" w:themeShade="BF"/>
          <w:szCs w:val="21"/>
        </w:rPr>
      </w:pPr>
      <w:r>
        <w:rPr>
          <w:rFonts w:ascii="Times New Roman" w:hAnsi="Times New Roman" w:cs="Times New Roman"/>
          <w:b/>
          <w:bCs/>
          <w:color w:val="2E75B6" w:themeColor="accent5" w:themeShade="BF"/>
          <w:szCs w:val="21"/>
        </w:rPr>
        <w:t>Working Principles of NanoIR-AFM Technology and Instrumentation. The primary challenges facing the application of NanoIR-AFM that may limit its applicability in specific situations.</w:t>
      </w:r>
    </w:p>
    <w:p w14:paraId="4A08A93B">
      <w:pPr>
        <w:outlineLvl w:val="1"/>
        <w:rPr>
          <w:rFonts w:ascii="Times New Roman" w:hAnsi="Times New Roman" w:cs="Times New Roman"/>
          <w:b/>
          <w:bCs/>
          <w:szCs w:val="21"/>
        </w:rPr>
      </w:pPr>
      <w:r>
        <w:rPr>
          <w:rFonts w:hint="eastAsia" w:ascii="Times New Roman" w:hAnsi="Times New Roman" w:cs="Times New Roman"/>
          <w:b/>
          <w:bCs/>
          <w:szCs w:val="21"/>
        </w:rPr>
        <w:t xml:space="preserve">Response </w:t>
      </w:r>
      <w:r>
        <w:rPr>
          <w:rFonts w:ascii="Times New Roman" w:hAnsi="Times New Roman" w:cs="Times New Roman"/>
          <w:b/>
          <w:bCs/>
          <w:szCs w:val="21"/>
        </w:rPr>
        <w:t>A:</w:t>
      </w:r>
    </w:p>
    <w:p w14:paraId="4B4CF048">
      <w:pPr>
        <w:rPr>
          <w:rFonts w:ascii="Times New Roman" w:hAnsi="Times New Roman" w:cs="Times New Roman"/>
          <w:sz w:val="20"/>
          <w:szCs w:val="20"/>
        </w:rPr>
      </w:pPr>
      <w:r>
        <w:rPr>
          <w:rFonts w:hint="eastAsia" w:ascii="Times New Roman" w:hAnsi="Times New Roman" w:cs="Times New Roman"/>
          <w:sz w:val="20"/>
          <w:szCs w:val="20"/>
        </w:rPr>
        <w:t>1. Working Principles of NanoIR-AFM Technology</w:t>
      </w:r>
    </w:p>
    <w:p w14:paraId="61AAD51E">
      <w:pPr>
        <w:ind w:firstLine="400" w:firstLineChars="200"/>
        <w:rPr>
          <w:rFonts w:ascii="Times New Roman" w:hAnsi="Times New Roman" w:cs="Times New Roman"/>
          <w:sz w:val="20"/>
          <w:szCs w:val="20"/>
        </w:rPr>
      </w:pPr>
      <w:r>
        <w:rPr>
          <w:rFonts w:hint="eastAsia" w:ascii="Times New Roman" w:hAnsi="Times New Roman" w:cs="Times New Roman"/>
          <w:sz w:val="20"/>
          <w:szCs w:val="20"/>
        </w:rPr>
        <w:t>NanoIR-AFM combines atomic force microscopy (AFM) with infrared (IR) spectroscopy to provide nanoscale chemical, mechanical, and structural information. The key principles are:</w:t>
      </w:r>
    </w:p>
    <w:p w14:paraId="3FD97773">
      <w:pPr>
        <w:ind w:firstLine="400" w:firstLineChars="200"/>
        <w:rPr>
          <w:rFonts w:ascii="Times New Roman" w:hAnsi="Times New Roman" w:cs="Times New Roman"/>
          <w:sz w:val="20"/>
          <w:szCs w:val="20"/>
        </w:rPr>
      </w:pPr>
      <w:r>
        <w:rPr>
          <w:rFonts w:hint="eastAsia" w:ascii="Times New Roman" w:hAnsi="Times New Roman" w:cs="Times New Roman"/>
          <w:sz w:val="20"/>
          <w:szCs w:val="20"/>
        </w:rPr>
        <w:t>AFM for Topography: AFM uses a sharp tip to scan the sample surface, providing high-resolution topographical images.</w:t>
      </w:r>
    </w:p>
    <w:p w14:paraId="14C84AA0">
      <w:pPr>
        <w:ind w:firstLine="400" w:firstLineChars="200"/>
        <w:rPr>
          <w:rFonts w:ascii="Times New Roman" w:hAnsi="Times New Roman" w:cs="Times New Roman"/>
          <w:sz w:val="20"/>
          <w:szCs w:val="20"/>
        </w:rPr>
      </w:pPr>
      <w:r>
        <w:rPr>
          <w:rFonts w:hint="eastAsia" w:ascii="Times New Roman" w:hAnsi="Times New Roman" w:cs="Times New Roman"/>
          <w:sz w:val="20"/>
          <w:szCs w:val="20"/>
        </w:rPr>
        <w:t>IR Absorption: A tunable IR laser irradiates the sample, causing localized thermal expansion where the sample absorbs IR light.</w:t>
      </w:r>
    </w:p>
    <w:p w14:paraId="62E3996A">
      <w:pPr>
        <w:ind w:firstLine="400" w:firstLineChars="200"/>
        <w:rPr>
          <w:rFonts w:ascii="Times New Roman" w:hAnsi="Times New Roman" w:cs="Times New Roman"/>
          <w:sz w:val="20"/>
          <w:szCs w:val="20"/>
        </w:rPr>
      </w:pPr>
      <w:r>
        <w:rPr>
          <w:rFonts w:hint="eastAsia" w:ascii="Times New Roman" w:hAnsi="Times New Roman" w:cs="Times New Roman"/>
          <w:sz w:val="20"/>
          <w:szCs w:val="20"/>
        </w:rPr>
        <w:t>Photothermal Detection: The AFM cantilever detects the thermal expansion as mechanical oscillations, correlating them with IR absorption at specific wavelengths.</w:t>
      </w:r>
    </w:p>
    <w:p w14:paraId="7F71B6C2">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Spectroscopic Analysis: By sweeping the laser wavelength, NanoIR generates IR absorption spectra, revealing chemical composition at the nanoscale.</w:t>
      </w:r>
    </w:p>
    <w:p w14:paraId="487D3B52">
      <w:pPr>
        <w:rPr>
          <w:rFonts w:ascii="Times New Roman" w:hAnsi="Times New Roman" w:cs="Times New Roman"/>
          <w:sz w:val="20"/>
          <w:szCs w:val="20"/>
        </w:rPr>
      </w:pPr>
      <w:r>
        <w:rPr>
          <w:rFonts w:hint="eastAsia" w:ascii="Times New Roman" w:hAnsi="Times New Roman" w:cs="Times New Roman"/>
          <w:sz w:val="20"/>
          <w:szCs w:val="20"/>
        </w:rPr>
        <w:t>2. Instrumentation of NanoIR-AFM</w:t>
      </w:r>
    </w:p>
    <w:p w14:paraId="07598299">
      <w:pPr>
        <w:ind w:firstLine="400" w:firstLineChars="200"/>
        <w:rPr>
          <w:rFonts w:ascii="Times New Roman" w:hAnsi="Times New Roman" w:cs="Times New Roman"/>
          <w:sz w:val="20"/>
          <w:szCs w:val="20"/>
        </w:rPr>
      </w:pPr>
      <w:r>
        <w:rPr>
          <w:rFonts w:hint="eastAsia" w:ascii="Times New Roman" w:hAnsi="Times New Roman" w:cs="Times New Roman"/>
          <w:sz w:val="20"/>
          <w:szCs w:val="20"/>
        </w:rPr>
        <w:t>AFM Unit: Provides high-resolution imaging of surface morphology.</w:t>
      </w:r>
    </w:p>
    <w:p w14:paraId="0FF3D7D7">
      <w:pPr>
        <w:ind w:firstLine="400" w:firstLineChars="200"/>
        <w:rPr>
          <w:rFonts w:ascii="Times New Roman" w:hAnsi="Times New Roman" w:cs="Times New Roman"/>
          <w:sz w:val="20"/>
          <w:szCs w:val="20"/>
        </w:rPr>
      </w:pPr>
      <w:r>
        <w:rPr>
          <w:rFonts w:hint="eastAsia" w:ascii="Times New Roman" w:hAnsi="Times New Roman" w:cs="Times New Roman"/>
          <w:sz w:val="20"/>
          <w:szCs w:val="20"/>
        </w:rPr>
        <w:t>IR Laser Source: A tunable or broadband IR laser illuminates the sample for spectroscopic analysis.</w:t>
      </w:r>
    </w:p>
    <w:p w14:paraId="18AC05AF">
      <w:pPr>
        <w:ind w:firstLine="400" w:firstLineChars="200"/>
        <w:rPr>
          <w:rFonts w:ascii="Times New Roman" w:hAnsi="Times New Roman" w:cs="Times New Roman"/>
          <w:sz w:val="20"/>
          <w:szCs w:val="20"/>
        </w:rPr>
      </w:pPr>
      <w:r>
        <w:rPr>
          <w:rFonts w:hint="eastAsia" w:ascii="Times New Roman" w:hAnsi="Times New Roman" w:cs="Times New Roman"/>
          <w:sz w:val="20"/>
          <w:szCs w:val="20"/>
        </w:rPr>
        <w:t>Cantilever and Tip: Detects thermal expansion caused by IR absorption.</w:t>
      </w:r>
    </w:p>
    <w:p w14:paraId="1A62D55B">
      <w:pPr>
        <w:ind w:firstLine="400" w:firstLineChars="200"/>
        <w:rPr>
          <w:rFonts w:ascii="Times New Roman" w:hAnsi="Times New Roman" w:cs="Times New Roman"/>
          <w:sz w:val="20"/>
          <w:szCs w:val="20"/>
        </w:rPr>
      </w:pPr>
      <w:r>
        <w:rPr>
          <w:rFonts w:hint="eastAsia" w:ascii="Times New Roman" w:hAnsi="Times New Roman" w:cs="Times New Roman"/>
          <w:sz w:val="20"/>
          <w:szCs w:val="20"/>
        </w:rPr>
        <w:t>Detection System: Monitors cantilever deflection or oscillation to measure IR absorption.</w:t>
      </w:r>
    </w:p>
    <w:p w14:paraId="5C9FC22C">
      <w:pPr>
        <w:ind w:firstLine="400" w:firstLineChars="200"/>
        <w:rPr>
          <w:rFonts w:ascii="Times New Roman" w:hAnsi="Times New Roman" w:cs="Times New Roman"/>
          <w:sz w:val="20"/>
          <w:szCs w:val="20"/>
        </w:rPr>
      </w:pPr>
      <w:r>
        <w:rPr>
          <w:rFonts w:hint="eastAsia" w:ascii="Times New Roman" w:hAnsi="Times New Roman" w:cs="Times New Roman"/>
          <w:sz w:val="20"/>
          <w:szCs w:val="20"/>
        </w:rPr>
        <w:t>Control Software: Integrates AFM imaging with IR spectroscopy for data acquisition and analysis.</w:t>
      </w:r>
    </w:p>
    <w:p w14:paraId="071F0198">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This technology is particularly useful for studying polymers, biomaterials, and thin films at the nanoscale.</w:t>
      </w:r>
    </w:p>
    <w:p w14:paraId="2153FDF0">
      <w:pPr>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The primary challenges facing the application of NanoIR-AFM (nanoscale infrared spectroscopy combined with atomic force microscopy) include:</w:t>
      </w:r>
    </w:p>
    <w:p w14:paraId="2E419829">
      <w:pPr>
        <w:ind w:firstLine="400" w:firstLineChars="200"/>
        <w:rPr>
          <w:rFonts w:ascii="Times New Roman" w:hAnsi="Times New Roman" w:cs="Times New Roman"/>
          <w:sz w:val="20"/>
          <w:szCs w:val="20"/>
        </w:rPr>
      </w:pPr>
      <w:r>
        <w:rPr>
          <w:rFonts w:ascii="Times New Roman" w:hAnsi="Times New Roman" w:cs="Times New Roman"/>
          <w:sz w:val="20"/>
          <w:szCs w:val="20"/>
        </w:rPr>
        <w:t>Spatial Resolution Limitations: While NanoIR achieves nanoscale resolution, it may not resolve features below ~10 nm, limiting its use in highly complex or ultrafine structures.</w:t>
      </w:r>
    </w:p>
    <w:p w14:paraId="67ACD0CA">
      <w:pPr>
        <w:ind w:firstLine="400" w:firstLineChars="200"/>
        <w:rPr>
          <w:rFonts w:ascii="Times New Roman" w:hAnsi="Times New Roman" w:cs="Times New Roman"/>
          <w:sz w:val="20"/>
          <w:szCs w:val="20"/>
        </w:rPr>
      </w:pPr>
      <w:r>
        <w:rPr>
          <w:rFonts w:ascii="Times New Roman" w:hAnsi="Times New Roman" w:cs="Times New Roman"/>
          <w:sz w:val="20"/>
          <w:szCs w:val="20"/>
        </w:rPr>
        <w:t>Material Absorption Constraints: NanoIR relies on IR absorption, so materials with weak IR absorption or overlapping absorption bands can yield poor spectral contrast.</w:t>
      </w:r>
    </w:p>
    <w:p w14:paraId="0E39BCA1">
      <w:pPr>
        <w:ind w:firstLine="400" w:firstLineChars="200"/>
        <w:rPr>
          <w:rFonts w:ascii="Times New Roman" w:hAnsi="Times New Roman" w:cs="Times New Roman"/>
          <w:sz w:val="20"/>
          <w:szCs w:val="20"/>
        </w:rPr>
      </w:pPr>
      <w:r>
        <w:rPr>
          <w:rFonts w:ascii="Times New Roman" w:hAnsi="Times New Roman" w:cs="Times New Roman"/>
          <w:sz w:val="20"/>
          <w:szCs w:val="20"/>
        </w:rPr>
        <w:t>Sample Preparation: Requires smooth, thin, and stable samples; rough or thick samples can interfere with signal quality and AFM tip interaction.</w:t>
      </w:r>
    </w:p>
    <w:p w14:paraId="00667CFD">
      <w:pPr>
        <w:ind w:firstLine="400" w:firstLineChars="200"/>
        <w:rPr>
          <w:rFonts w:ascii="Times New Roman" w:hAnsi="Times New Roman" w:cs="Times New Roman"/>
          <w:sz w:val="20"/>
          <w:szCs w:val="20"/>
        </w:rPr>
      </w:pPr>
      <w:r>
        <w:rPr>
          <w:rFonts w:ascii="Times New Roman" w:hAnsi="Times New Roman" w:cs="Times New Roman"/>
          <w:sz w:val="20"/>
          <w:szCs w:val="20"/>
        </w:rPr>
        <w:t>Signal Sensitivity: Weak thermal expansion signals in certain materials may reduce sensitivity, especially for low-absorption or low-thermal-expansion samples.</w:t>
      </w:r>
    </w:p>
    <w:p w14:paraId="7F0C3E69">
      <w:pPr>
        <w:ind w:firstLine="400" w:firstLineChars="200"/>
        <w:rPr>
          <w:rFonts w:ascii="Times New Roman" w:hAnsi="Times New Roman" w:cs="Times New Roman"/>
          <w:sz w:val="20"/>
          <w:szCs w:val="20"/>
        </w:rPr>
      </w:pPr>
      <w:r>
        <w:rPr>
          <w:rFonts w:ascii="Times New Roman" w:hAnsi="Times New Roman" w:cs="Times New Roman"/>
          <w:sz w:val="20"/>
          <w:szCs w:val="20"/>
        </w:rPr>
        <w:t>Tip-Sample Interaction: Strong tip-sample forces can damage soft materials or distort results, limiting its use for delicate samples like biological tissues.</w:t>
      </w:r>
    </w:p>
    <w:p w14:paraId="423A4015">
      <w:pPr>
        <w:ind w:firstLine="400" w:firstLineChars="200"/>
        <w:rPr>
          <w:rFonts w:ascii="Times New Roman" w:hAnsi="Times New Roman" w:cs="Times New Roman"/>
          <w:sz w:val="20"/>
          <w:szCs w:val="20"/>
        </w:rPr>
      </w:pPr>
      <w:r>
        <w:rPr>
          <w:rFonts w:ascii="Times New Roman" w:hAnsi="Times New Roman" w:cs="Times New Roman"/>
          <w:sz w:val="20"/>
          <w:szCs w:val="20"/>
        </w:rPr>
        <w:t>Thermal Effects: Localized heating from the IR laser can alter or damage heat-sensitive samples, affecting measurement accuracy.</w:t>
      </w:r>
    </w:p>
    <w:p w14:paraId="114BCA31">
      <w:pPr>
        <w:ind w:firstLine="400" w:firstLineChars="200"/>
        <w:rPr>
          <w:rFonts w:ascii="Times New Roman" w:hAnsi="Times New Roman" w:cs="Times New Roman"/>
          <w:sz w:val="20"/>
          <w:szCs w:val="20"/>
        </w:rPr>
      </w:pPr>
      <w:r>
        <w:rPr>
          <w:rFonts w:ascii="Times New Roman" w:hAnsi="Times New Roman" w:cs="Times New Roman"/>
          <w:sz w:val="20"/>
          <w:szCs w:val="20"/>
        </w:rPr>
        <w:t>Measurement Speed: NanoIR is relatively slow compared to other spectroscopic techniques, making it less suitable for high-throughput analysis.</w:t>
      </w:r>
    </w:p>
    <w:p w14:paraId="294BF27A">
      <w:pPr>
        <w:ind w:firstLine="400" w:firstLineChars="200"/>
        <w:rPr>
          <w:rFonts w:ascii="Times New Roman" w:hAnsi="Times New Roman" w:cs="Times New Roman"/>
          <w:sz w:val="20"/>
          <w:szCs w:val="20"/>
        </w:rPr>
      </w:pPr>
      <w:r>
        <w:rPr>
          <w:rFonts w:ascii="Times New Roman" w:hAnsi="Times New Roman" w:cs="Times New Roman"/>
          <w:sz w:val="20"/>
          <w:szCs w:val="20"/>
        </w:rPr>
        <w:t>Cost and Complexity: The equipment is expensive and requires specialized expertise, limiting its accessibility and widespread adoption.</w:t>
      </w:r>
    </w:p>
    <w:p w14:paraId="2AA3023A">
      <w:pPr>
        <w:ind w:firstLine="400" w:firstLineChars="200"/>
        <w:rPr>
          <w:rFonts w:ascii="Times New Roman" w:hAnsi="Times New Roman" w:cs="Times New Roman"/>
          <w:sz w:val="20"/>
          <w:szCs w:val="20"/>
        </w:rPr>
      </w:pPr>
      <w:r>
        <w:rPr>
          <w:rFonts w:ascii="Times New Roman" w:hAnsi="Times New Roman" w:cs="Times New Roman"/>
          <w:sz w:val="20"/>
          <w:szCs w:val="20"/>
        </w:rPr>
        <w:t>Environmental Sensitivity: Requires controlled environments (e.g., vibration isolation, temperature stability) to ensure accurate measurements.</w:t>
      </w:r>
    </w:p>
    <w:p w14:paraId="58CAAB27">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These challenges may restrict NanoIR-AFM's applicability in certain materials, environments, or high-throughput industrial settings.</w:t>
      </w:r>
    </w:p>
    <w:p w14:paraId="52E2C5A8">
      <w:pPr>
        <w:rPr>
          <w:rFonts w:ascii="Times New Roman" w:hAnsi="Times New Roman" w:cs="Times New Roman"/>
          <w:sz w:val="20"/>
          <w:szCs w:val="20"/>
        </w:rPr>
      </w:pPr>
      <w:r>
        <w:rPr>
          <w:rFonts w:hint="eastAsia" w:ascii="Times New Roman" w:hAnsi="Times New Roman" w:cs="Times New Roman"/>
          <w:sz w:val="20"/>
          <w:szCs w:val="20"/>
        </w:rPr>
        <w:t>4.</w:t>
      </w:r>
      <w:r>
        <w:rPr>
          <w:rFonts w:ascii="Times New Roman" w:hAnsi="Times New Roman" w:cs="Times New Roman"/>
          <w:sz w:val="20"/>
          <w:szCs w:val="20"/>
        </w:rPr>
        <w:t>The primary challenges facing the application of NanoIR-AFM (nanoscale infrared spectroscopy combined with atomic force microscopy) include:</w:t>
      </w:r>
    </w:p>
    <w:p w14:paraId="1AE6AF14">
      <w:pPr>
        <w:ind w:firstLine="400" w:firstLineChars="200"/>
        <w:rPr>
          <w:rFonts w:ascii="Times New Roman" w:hAnsi="Times New Roman" w:cs="Times New Roman"/>
          <w:sz w:val="20"/>
          <w:szCs w:val="20"/>
        </w:rPr>
      </w:pPr>
      <w:r>
        <w:rPr>
          <w:rFonts w:ascii="Times New Roman" w:hAnsi="Times New Roman" w:cs="Times New Roman"/>
          <w:sz w:val="20"/>
          <w:szCs w:val="20"/>
        </w:rPr>
        <w:t>Spatial Resolution Limitations: While NanoIR achieves nanoscale resolution, it may not resolve features below ~10 nm, limiting its use in highly complex or ultrafine structures.</w:t>
      </w:r>
    </w:p>
    <w:p w14:paraId="4516CAA0">
      <w:pPr>
        <w:ind w:firstLine="400" w:firstLineChars="200"/>
        <w:rPr>
          <w:rFonts w:ascii="Times New Roman" w:hAnsi="Times New Roman" w:cs="Times New Roman"/>
          <w:sz w:val="20"/>
          <w:szCs w:val="20"/>
        </w:rPr>
      </w:pPr>
      <w:r>
        <w:rPr>
          <w:rFonts w:ascii="Times New Roman" w:hAnsi="Times New Roman" w:cs="Times New Roman"/>
          <w:sz w:val="20"/>
          <w:szCs w:val="20"/>
        </w:rPr>
        <w:t>Material Absorption Constraints: NanoIR relies on IR absorption, so materials with weak IR absorption or overlapping absorption bands can yield poor spectral contrast.</w:t>
      </w:r>
    </w:p>
    <w:p w14:paraId="35D16314">
      <w:pPr>
        <w:ind w:firstLine="400" w:firstLineChars="200"/>
        <w:rPr>
          <w:rFonts w:ascii="Times New Roman" w:hAnsi="Times New Roman" w:cs="Times New Roman"/>
          <w:sz w:val="20"/>
          <w:szCs w:val="20"/>
        </w:rPr>
      </w:pPr>
      <w:r>
        <w:rPr>
          <w:rFonts w:ascii="Times New Roman" w:hAnsi="Times New Roman" w:cs="Times New Roman"/>
          <w:sz w:val="20"/>
          <w:szCs w:val="20"/>
        </w:rPr>
        <w:t>Sample Preparation: Requires smooth, thin, and stable samples; rough or thick samples can interfere with signal quality and AFM tip interaction.</w:t>
      </w:r>
    </w:p>
    <w:p w14:paraId="7BBD8D8D">
      <w:pPr>
        <w:ind w:firstLine="400" w:firstLineChars="200"/>
        <w:rPr>
          <w:rFonts w:ascii="Times New Roman" w:hAnsi="Times New Roman" w:cs="Times New Roman"/>
          <w:sz w:val="20"/>
          <w:szCs w:val="20"/>
        </w:rPr>
      </w:pPr>
      <w:r>
        <w:rPr>
          <w:rFonts w:ascii="Times New Roman" w:hAnsi="Times New Roman" w:cs="Times New Roman"/>
          <w:sz w:val="20"/>
          <w:szCs w:val="20"/>
        </w:rPr>
        <w:t>Signal Sensitivity: Weak thermal expansion signals in certain materials may reduce sensitivity, especially for low-absorption or low-thermal-expansion samples.</w:t>
      </w:r>
    </w:p>
    <w:p w14:paraId="5133B1EA">
      <w:pPr>
        <w:ind w:firstLine="400" w:firstLineChars="200"/>
        <w:rPr>
          <w:rFonts w:ascii="Times New Roman" w:hAnsi="Times New Roman" w:cs="Times New Roman"/>
          <w:sz w:val="20"/>
          <w:szCs w:val="20"/>
        </w:rPr>
      </w:pPr>
      <w:r>
        <w:rPr>
          <w:rFonts w:ascii="Times New Roman" w:hAnsi="Times New Roman" w:cs="Times New Roman"/>
          <w:sz w:val="20"/>
          <w:szCs w:val="20"/>
        </w:rPr>
        <w:t>Tip-Sample Interaction: Strong tip-sample forces can damage soft materials or distort results, limiting its use for delicate samples like biological tissues.</w:t>
      </w:r>
    </w:p>
    <w:p w14:paraId="15EA0B19">
      <w:pPr>
        <w:ind w:firstLine="400" w:firstLineChars="200"/>
        <w:rPr>
          <w:rFonts w:ascii="Times New Roman" w:hAnsi="Times New Roman" w:cs="Times New Roman"/>
          <w:sz w:val="20"/>
          <w:szCs w:val="20"/>
        </w:rPr>
      </w:pPr>
      <w:r>
        <w:rPr>
          <w:rFonts w:ascii="Times New Roman" w:hAnsi="Times New Roman" w:cs="Times New Roman"/>
          <w:sz w:val="20"/>
          <w:szCs w:val="20"/>
        </w:rPr>
        <w:t>Thermal Effects: Localized heating from the IR laser can alter or damage heat-sensitive samples, affecting measurement accuracy.</w:t>
      </w:r>
    </w:p>
    <w:p w14:paraId="1564E710">
      <w:pPr>
        <w:ind w:firstLine="400" w:firstLineChars="200"/>
        <w:rPr>
          <w:rFonts w:ascii="Times New Roman" w:hAnsi="Times New Roman" w:cs="Times New Roman"/>
          <w:sz w:val="20"/>
          <w:szCs w:val="20"/>
        </w:rPr>
      </w:pPr>
      <w:r>
        <w:rPr>
          <w:rFonts w:ascii="Times New Roman" w:hAnsi="Times New Roman" w:cs="Times New Roman"/>
          <w:sz w:val="20"/>
          <w:szCs w:val="20"/>
        </w:rPr>
        <w:t>Measurement Speed: NanoIR is relatively slow compared to other spectroscopic techniques, making it less suitable for high-throughput analysis.</w:t>
      </w:r>
    </w:p>
    <w:p w14:paraId="532DA41C">
      <w:pPr>
        <w:ind w:firstLine="400" w:firstLineChars="200"/>
        <w:rPr>
          <w:rFonts w:ascii="Times New Roman" w:hAnsi="Times New Roman" w:cs="Times New Roman"/>
          <w:sz w:val="20"/>
          <w:szCs w:val="20"/>
        </w:rPr>
      </w:pPr>
      <w:r>
        <w:rPr>
          <w:rFonts w:ascii="Times New Roman" w:hAnsi="Times New Roman" w:cs="Times New Roman"/>
          <w:sz w:val="20"/>
          <w:szCs w:val="20"/>
        </w:rPr>
        <w:t>Cost and Complexity: The equipment is expensive and requires specialized expertise, limiting its accessibility and widespread adoption.</w:t>
      </w:r>
    </w:p>
    <w:p w14:paraId="57E195DA">
      <w:pPr>
        <w:ind w:firstLine="400" w:firstLineChars="200"/>
        <w:rPr>
          <w:rFonts w:ascii="Times New Roman" w:hAnsi="Times New Roman" w:cs="Times New Roman"/>
          <w:sz w:val="20"/>
          <w:szCs w:val="20"/>
        </w:rPr>
      </w:pPr>
      <w:r>
        <w:rPr>
          <w:rFonts w:ascii="Times New Roman" w:hAnsi="Times New Roman" w:cs="Times New Roman"/>
          <w:sz w:val="20"/>
          <w:szCs w:val="20"/>
        </w:rPr>
        <w:t>Environmental Sensitivity: Requires controlled environments (e.g., vibration isolation, temperature stability) to ensure accurate measurements.</w:t>
      </w:r>
    </w:p>
    <w:p w14:paraId="3AC41C9D">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These challenges may restrict NanoIR-AFM's applicability in certain materials, environments, or high-throughput industrial settings.</w:t>
      </w:r>
    </w:p>
    <w:p w14:paraId="38919303">
      <w:pPr>
        <w:outlineLvl w:val="1"/>
        <w:rPr>
          <w:rFonts w:ascii="Times New Roman" w:hAnsi="Times New Roman" w:cs="Times New Roman"/>
          <w:b/>
          <w:bCs/>
          <w:szCs w:val="21"/>
        </w:rPr>
      </w:pPr>
      <w:r>
        <w:rPr>
          <w:rFonts w:hint="eastAsia" w:ascii="Times New Roman" w:hAnsi="Times New Roman" w:cs="Times New Roman"/>
          <w:b/>
          <w:bCs/>
          <w:szCs w:val="21"/>
        </w:rPr>
        <w:t>Response</w:t>
      </w:r>
      <w:r>
        <w:rPr>
          <w:rFonts w:ascii="Times New Roman" w:hAnsi="Times New Roman" w:cs="Times New Roman"/>
          <w:b/>
          <w:bCs/>
          <w:szCs w:val="21"/>
        </w:rPr>
        <w:t xml:space="preserve"> B</w:t>
      </w:r>
      <w:r>
        <w:rPr>
          <w:rFonts w:hint="eastAsia" w:ascii="Times New Roman" w:hAnsi="Times New Roman" w:cs="Times New Roman"/>
          <w:b/>
          <w:bCs/>
          <w:szCs w:val="21"/>
        </w:rPr>
        <w:t>:</w:t>
      </w:r>
    </w:p>
    <w:p w14:paraId="2582D1AD">
      <w:pPr>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Working Principles of NanoIR-AFM Technology and Instrumentation</w:t>
      </w:r>
    </w:p>
    <w:p w14:paraId="2DA1DB45">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NanoIR-AFM Overview:</w:t>
      </w:r>
    </w:p>
    <w:p w14:paraId="3565B75D">
      <w:pPr>
        <w:ind w:firstLine="400" w:firstLineChars="200"/>
        <w:rPr>
          <w:rFonts w:ascii="Times New Roman" w:hAnsi="Times New Roman" w:cs="Times New Roman"/>
          <w:sz w:val="20"/>
          <w:szCs w:val="20"/>
        </w:rPr>
      </w:pPr>
      <w:r>
        <w:rPr>
          <w:rFonts w:ascii="Times New Roman" w:hAnsi="Times New Roman" w:cs="Times New Roman"/>
          <w:sz w:val="20"/>
          <w:szCs w:val="20"/>
        </w:rPr>
        <w:t>NanoIR-AFM (nanoscale infrared atomic force microscopy) integrates atomic force microscopy (AFM) and infrared (IR) spectroscopy to enable chemical and structural characterization at the nanoscale.</w:t>
      </w:r>
    </w:p>
    <w:p w14:paraId="1A3847B3">
      <w:pPr>
        <w:ind w:firstLine="400" w:firstLineChars="200"/>
        <w:rPr>
          <w:rFonts w:ascii="Times New Roman" w:hAnsi="Times New Roman" w:cs="Times New Roman"/>
          <w:sz w:val="20"/>
          <w:szCs w:val="20"/>
        </w:rPr>
      </w:pPr>
      <w:r>
        <w:rPr>
          <w:rFonts w:ascii="Times New Roman" w:hAnsi="Times New Roman" w:cs="Times New Roman"/>
          <w:sz w:val="20"/>
          <w:szCs w:val="20"/>
        </w:rPr>
        <w:t>By combining these two techniques, it offers spatial resolution of AFM with the chemical identification capabilities of IR spectroscopy.</w:t>
      </w:r>
    </w:p>
    <w:p w14:paraId="73538403">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Principle of Operation:</w:t>
      </w:r>
    </w:p>
    <w:p w14:paraId="65FC6B30">
      <w:pPr>
        <w:ind w:firstLine="400" w:firstLineChars="200"/>
        <w:rPr>
          <w:rFonts w:ascii="Times New Roman" w:hAnsi="Times New Roman" w:cs="Times New Roman"/>
          <w:sz w:val="20"/>
          <w:szCs w:val="20"/>
        </w:rPr>
      </w:pPr>
      <w:r>
        <w:rPr>
          <w:rFonts w:ascii="Times New Roman" w:hAnsi="Times New Roman" w:cs="Times New Roman"/>
          <w:sz w:val="20"/>
          <w:szCs w:val="20"/>
        </w:rPr>
        <w:t>IR Absorption: A tunable IR laser is used to illuminate the sample. When the sample absorbs IR light at specific wavelengths, it corresponds to its molecular vibrational modes, providing information about chemical composition.</w:t>
      </w:r>
    </w:p>
    <w:p w14:paraId="1FA8F345">
      <w:pPr>
        <w:ind w:firstLine="400" w:firstLineChars="200"/>
        <w:rPr>
          <w:rFonts w:ascii="Times New Roman" w:hAnsi="Times New Roman" w:cs="Times New Roman"/>
          <w:sz w:val="20"/>
          <w:szCs w:val="20"/>
        </w:rPr>
      </w:pPr>
      <w:r>
        <w:rPr>
          <w:rFonts w:ascii="Times New Roman" w:hAnsi="Times New Roman" w:cs="Times New Roman"/>
          <w:sz w:val="20"/>
          <w:szCs w:val="20"/>
        </w:rPr>
        <w:t>AFM Detection: Vibrational energy absorbed locally by the sample generates rapid local thermal expansion that excites mechanical oscillations in the AFM probe. These oscillations are detected and linked to the IR absorption signal.</w:t>
      </w:r>
    </w:p>
    <w:p w14:paraId="45658C80">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Key Components:</w:t>
      </w:r>
    </w:p>
    <w:p w14:paraId="63CBDF51">
      <w:pPr>
        <w:ind w:firstLine="400" w:firstLineChars="200"/>
        <w:rPr>
          <w:rFonts w:ascii="Times New Roman" w:hAnsi="Times New Roman" w:cs="Times New Roman"/>
          <w:sz w:val="20"/>
          <w:szCs w:val="20"/>
        </w:rPr>
      </w:pPr>
      <w:r>
        <w:rPr>
          <w:rFonts w:ascii="Times New Roman" w:hAnsi="Times New Roman" w:cs="Times New Roman"/>
          <w:sz w:val="20"/>
          <w:szCs w:val="20"/>
        </w:rPr>
        <w:t>Tunable IR Laser Source: Provides specific IR wavelengths to interact with the sample. The laser is usually modulated for enhanced detection sensitivity.</w:t>
      </w:r>
    </w:p>
    <w:p w14:paraId="1F4317F2">
      <w:pPr>
        <w:ind w:firstLine="400" w:firstLineChars="200"/>
        <w:rPr>
          <w:rFonts w:ascii="Times New Roman" w:hAnsi="Times New Roman" w:cs="Times New Roman"/>
          <w:sz w:val="20"/>
          <w:szCs w:val="20"/>
        </w:rPr>
      </w:pPr>
      <w:r>
        <w:rPr>
          <w:rFonts w:ascii="Times New Roman" w:hAnsi="Times New Roman" w:cs="Times New Roman"/>
          <w:sz w:val="20"/>
          <w:szCs w:val="20"/>
        </w:rPr>
        <w:t>AFM Probe: A sharp probe measures topography and oscillations due to thermal expansion caused by IR absorption.</w:t>
      </w:r>
    </w:p>
    <w:p w14:paraId="6BFA5981">
      <w:pPr>
        <w:ind w:firstLine="400" w:firstLineChars="200"/>
        <w:rPr>
          <w:rFonts w:ascii="Times New Roman" w:hAnsi="Times New Roman" w:cs="Times New Roman"/>
          <w:sz w:val="20"/>
          <w:szCs w:val="20"/>
        </w:rPr>
      </w:pPr>
      <w:r>
        <w:rPr>
          <w:rFonts w:ascii="Times New Roman" w:hAnsi="Times New Roman" w:cs="Times New Roman"/>
          <w:sz w:val="20"/>
          <w:szCs w:val="20"/>
        </w:rPr>
        <w:t>Detector System: Converts the oscillation of the AFM cantilever into an electrical signal, correlating it with IR absorption information.</w:t>
      </w:r>
    </w:p>
    <w:p w14:paraId="1DCF8EB8">
      <w:pPr>
        <w:ind w:firstLine="400" w:firstLineChars="200"/>
        <w:rPr>
          <w:rFonts w:ascii="Times New Roman" w:hAnsi="Times New Roman" w:cs="Times New Roman"/>
          <w:sz w:val="20"/>
          <w:szCs w:val="20"/>
        </w:rPr>
      </w:pPr>
      <w:r>
        <w:rPr>
          <w:rFonts w:ascii="Times New Roman" w:hAnsi="Times New Roman" w:cs="Times New Roman"/>
          <w:sz w:val="20"/>
          <w:szCs w:val="20"/>
        </w:rPr>
        <w:t>Stage Control: Nanoscale positioning system ensures precise scanning and mapping.</w:t>
      </w:r>
    </w:p>
    <w:p w14:paraId="542F9AC3">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(4) </w:t>
      </w:r>
      <w:r>
        <w:rPr>
          <w:rFonts w:ascii="Times New Roman" w:hAnsi="Times New Roman" w:cs="Times New Roman"/>
          <w:sz w:val="20"/>
          <w:szCs w:val="20"/>
        </w:rPr>
        <w:t>Instrumentation Process:</w:t>
      </w:r>
    </w:p>
    <w:p w14:paraId="41510428">
      <w:pPr>
        <w:ind w:firstLine="400" w:firstLineChars="200"/>
        <w:rPr>
          <w:rFonts w:ascii="Times New Roman" w:hAnsi="Times New Roman" w:cs="Times New Roman"/>
          <w:sz w:val="20"/>
          <w:szCs w:val="20"/>
        </w:rPr>
      </w:pPr>
      <w:r>
        <w:rPr>
          <w:rFonts w:ascii="Times New Roman" w:hAnsi="Times New Roman" w:cs="Times New Roman"/>
          <w:sz w:val="20"/>
          <w:szCs w:val="20"/>
        </w:rPr>
        <w:t>Step 1 - Surface Scanning: The AFM probe scans the sample to acquire topographical data.</w:t>
      </w:r>
    </w:p>
    <w:p w14:paraId="5C1939C9">
      <w:pPr>
        <w:ind w:firstLine="400" w:firstLineChars="200"/>
        <w:rPr>
          <w:rFonts w:ascii="Times New Roman" w:hAnsi="Times New Roman" w:cs="Times New Roman"/>
          <w:sz w:val="20"/>
          <w:szCs w:val="20"/>
        </w:rPr>
      </w:pPr>
      <w:r>
        <w:rPr>
          <w:rFonts w:ascii="Times New Roman" w:hAnsi="Times New Roman" w:cs="Times New Roman"/>
          <w:sz w:val="20"/>
          <w:szCs w:val="20"/>
        </w:rPr>
        <w:t>Step 2 - IR Illumination: The sample is illuminated by the IR laser at various wavelengths.</w:t>
      </w:r>
    </w:p>
    <w:p w14:paraId="4ECACA41">
      <w:pPr>
        <w:ind w:firstLine="400" w:firstLineChars="200"/>
        <w:rPr>
          <w:rFonts w:ascii="Times New Roman" w:hAnsi="Times New Roman" w:cs="Times New Roman"/>
          <w:sz w:val="20"/>
          <w:szCs w:val="20"/>
        </w:rPr>
      </w:pPr>
      <w:r>
        <w:rPr>
          <w:rFonts w:ascii="Times New Roman" w:hAnsi="Times New Roman" w:cs="Times New Roman"/>
          <w:sz w:val="20"/>
          <w:szCs w:val="20"/>
        </w:rPr>
        <w:t>Step 3 - Signal Detection: The AFM detects localized thermal expansion induced by IR absorption, creating a signal linked to specific chemical bonds.</w:t>
      </w:r>
    </w:p>
    <w:p w14:paraId="54BE1194">
      <w:pPr>
        <w:ind w:firstLine="400" w:firstLineChars="200"/>
        <w:rPr>
          <w:rFonts w:ascii="Times New Roman" w:hAnsi="Times New Roman" w:cs="Times New Roman"/>
          <w:sz w:val="20"/>
          <w:szCs w:val="20"/>
        </w:rPr>
      </w:pPr>
      <w:r>
        <w:rPr>
          <w:rFonts w:ascii="Times New Roman" w:hAnsi="Times New Roman" w:cs="Times New Roman"/>
          <w:sz w:val="20"/>
          <w:szCs w:val="20"/>
        </w:rPr>
        <w:t>Step 4 - Data Analysis: The IR absorption data is mapped with the AFM topographical data to provide a detailed chemical-structural image.</w:t>
      </w:r>
    </w:p>
    <w:p w14:paraId="36453DBF">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(5) </w:t>
      </w:r>
      <w:r>
        <w:rPr>
          <w:rFonts w:ascii="Times New Roman" w:hAnsi="Times New Roman" w:cs="Times New Roman"/>
          <w:sz w:val="20"/>
          <w:szCs w:val="20"/>
        </w:rPr>
        <w:t>Applications:</w:t>
      </w:r>
    </w:p>
    <w:p w14:paraId="195E9C29">
      <w:pPr>
        <w:ind w:firstLine="400" w:firstLineChars="200"/>
        <w:rPr>
          <w:rFonts w:ascii="Times New Roman" w:hAnsi="Times New Roman" w:cs="Times New Roman"/>
          <w:sz w:val="20"/>
          <w:szCs w:val="20"/>
        </w:rPr>
      </w:pPr>
      <w:r>
        <w:rPr>
          <w:rFonts w:ascii="Times New Roman" w:hAnsi="Times New Roman" w:cs="Times New Roman"/>
          <w:sz w:val="20"/>
          <w:szCs w:val="20"/>
        </w:rPr>
        <w:t>NanoIR-AFM is widely applied in polymer science, materials chemistry, biological studies, and nanotechnology for:</w:t>
      </w:r>
    </w:p>
    <w:p w14:paraId="5D998737">
      <w:pPr>
        <w:ind w:firstLine="400" w:firstLineChars="200"/>
        <w:rPr>
          <w:rFonts w:ascii="Times New Roman" w:hAnsi="Times New Roman" w:cs="Times New Roman"/>
          <w:sz w:val="20"/>
          <w:szCs w:val="20"/>
        </w:rPr>
      </w:pPr>
      <w:r>
        <w:rPr>
          <w:rFonts w:ascii="Times New Roman" w:hAnsi="Times New Roman" w:cs="Times New Roman"/>
          <w:sz w:val="20"/>
          <w:szCs w:val="20"/>
        </w:rPr>
        <w:t>Measuring molecular structure and composition of materials.</w:t>
      </w:r>
    </w:p>
    <w:p w14:paraId="65E53D44">
      <w:pPr>
        <w:ind w:firstLine="400" w:firstLineChars="200"/>
        <w:rPr>
          <w:rFonts w:ascii="Times New Roman" w:hAnsi="Times New Roman" w:cs="Times New Roman"/>
          <w:sz w:val="20"/>
          <w:szCs w:val="20"/>
        </w:rPr>
      </w:pPr>
      <w:r>
        <w:rPr>
          <w:rFonts w:ascii="Times New Roman" w:hAnsi="Times New Roman" w:cs="Times New Roman"/>
          <w:sz w:val="20"/>
          <w:szCs w:val="20"/>
        </w:rPr>
        <w:t>Studying phase separation in polymer blends.</w:t>
      </w:r>
    </w:p>
    <w:p w14:paraId="266C5650">
      <w:pPr>
        <w:ind w:firstLine="400" w:firstLineChars="200"/>
        <w:rPr>
          <w:rFonts w:ascii="Times New Roman" w:hAnsi="Times New Roman" w:cs="Times New Roman"/>
          <w:sz w:val="20"/>
          <w:szCs w:val="20"/>
        </w:rPr>
      </w:pPr>
      <w:r>
        <w:rPr>
          <w:rFonts w:ascii="Times New Roman" w:hAnsi="Times New Roman" w:cs="Times New Roman"/>
          <w:sz w:val="20"/>
          <w:szCs w:val="20"/>
        </w:rPr>
        <w:t>Characterizing protein structures and their chemical modifications.</w:t>
      </w:r>
    </w:p>
    <w:p w14:paraId="6E2B9147">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(6) </w:t>
      </w:r>
      <w:r>
        <w:rPr>
          <w:rFonts w:ascii="Times New Roman" w:hAnsi="Times New Roman" w:cs="Times New Roman"/>
          <w:sz w:val="20"/>
          <w:szCs w:val="20"/>
        </w:rPr>
        <w:t>Advantageous Features:</w:t>
      </w:r>
    </w:p>
    <w:p w14:paraId="18713367">
      <w:pPr>
        <w:ind w:firstLine="400" w:firstLineChars="200"/>
        <w:rPr>
          <w:rFonts w:ascii="Times New Roman" w:hAnsi="Times New Roman" w:cs="Times New Roman"/>
          <w:sz w:val="20"/>
          <w:szCs w:val="20"/>
        </w:rPr>
      </w:pPr>
      <w:r>
        <w:rPr>
          <w:rFonts w:ascii="Times New Roman" w:hAnsi="Times New Roman" w:cs="Times New Roman"/>
          <w:sz w:val="20"/>
          <w:szCs w:val="20"/>
        </w:rPr>
        <w:t>Combines high spatial resolution (AFM) with molecular specificity (IR spectroscopy).</w:t>
      </w:r>
    </w:p>
    <w:p w14:paraId="49CDAB64">
      <w:pPr>
        <w:ind w:firstLine="400" w:firstLineChars="200"/>
        <w:rPr>
          <w:rFonts w:ascii="Times New Roman" w:hAnsi="Times New Roman" w:cs="Times New Roman"/>
          <w:sz w:val="20"/>
          <w:szCs w:val="20"/>
        </w:rPr>
      </w:pPr>
      <w:r>
        <w:rPr>
          <w:rFonts w:ascii="Times New Roman" w:hAnsi="Times New Roman" w:cs="Times New Roman"/>
          <w:sz w:val="20"/>
          <w:szCs w:val="20"/>
        </w:rPr>
        <w:t>Enables label-free chemical analysis at resolution far below the diffraction limit of traditional IR microscopy.</w:t>
      </w:r>
    </w:p>
    <w:p w14:paraId="7CC00933">
      <w:pPr>
        <w:spacing w:after="156" w:afterLines="50"/>
        <w:ind w:firstLine="400" w:firstLineChars="200"/>
        <w:rPr>
          <w:rFonts w:ascii="Times New Roman" w:hAnsi="Times New Roman" w:cs="Times New Roman"/>
          <w:sz w:val="20"/>
          <w:szCs w:val="20"/>
        </w:rPr>
      </w:pPr>
      <w:r>
        <w:rPr>
          <w:rFonts w:ascii="Times New Roman" w:hAnsi="Times New Roman" w:cs="Times New Roman"/>
          <w:sz w:val="20"/>
          <w:szCs w:val="20"/>
        </w:rPr>
        <w:t>Offers complementary topographical and chemical mapping of complex samples.</w:t>
      </w:r>
    </w:p>
    <w:p w14:paraId="2F344D44">
      <w:pPr>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The primary challenges facing the application of NanoIR-AFM that may limit its applicability in specific situations include:</w:t>
      </w:r>
    </w:p>
    <w:p w14:paraId="4AD27417">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(1) </w:t>
      </w:r>
      <w:r>
        <w:rPr>
          <w:rFonts w:ascii="Times New Roman" w:hAnsi="Times New Roman" w:cs="Times New Roman"/>
          <w:sz w:val="20"/>
          <w:szCs w:val="20"/>
        </w:rPr>
        <w:t>Spatial Resolution Limitations:</w:t>
      </w:r>
      <w:r>
        <w:rPr>
          <w:rFonts w:hint="eastAsia" w:ascii="Times New Roman" w:hAnsi="Times New Roman" w:cs="Times New Roman"/>
          <w:sz w:val="20"/>
          <w:szCs w:val="20"/>
        </w:rPr>
        <w:t xml:space="preserve"> </w:t>
      </w:r>
      <w:r>
        <w:rPr>
          <w:rFonts w:ascii="Times New Roman" w:hAnsi="Times New Roman" w:cs="Times New Roman"/>
          <w:sz w:val="20"/>
          <w:szCs w:val="20"/>
        </w:rPr>
        <w:t>While NanoIR-AFM provides nanoscale resolution, its resolution might still fall short of imaging atomic-level detail that is achievable by some other microscopy techniques, such as TEM or STM, in certain applications.</w:t>
      </w:r>
    </w:p>
    <w:p w14:paraId="09087B75">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(2) </w:t>
      </w:r>
      <w:r>
        <w:rPr>
          <w:rFonts w:ascii="Times New Roman" w:hAnsi="Times New Roman" w:cs="Times New Roman"/>
          <w:sz w:val="20"/>
          <w:szCs w:val="20"/>
        </w:rPr>
        <w:t>Material Constraints:</w:t>
      </w:r>
      <w:r>
        <w:rPr>
          <w:rFonts w:hint="eastAsia" w:ascii="Times New Roman" w:hAnsi="Times New Roman" w:cs="Times New Roman"/>
          <w:sz w:val="20"/>
          <w:szCs w:val="20"/>
        </w:rPr>
        <w:t xml:space="preserve"> </w:t>
      </w:r>
      <w:r>
        <w:rPr>
          <w:rFonts w:ascii="Times New Roman" w:hAnsi="Times New Roman" w:cs="Times New Roman"/>
          <w:sz w:val="20"/>
          <w:szCs w:val="20"/>
        </w:rPr>
        <w:t>NanoIR-AFM performance heavily depends on the sample's optical absorption properties and thermal expansion responses, which can limit its use with materials that have weak infrared absorption or minimal thermal expansion.</w:t>
      </w:r>
    </w:p>
    <w:p w14:paraId="71A85076">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(3) </w:t>
      </w:r>
      <w:r>
        <w:rPr>
          <w:rFonts w:ascii="Times New Roman" w:hAnsi="Times New Roman" w:cs="Times New Roman"/>
          <w:sz w:val="20"/>
          <w:szCs w:val="20"/>
        </w:rPr>
        <w:t>Complex Sample Morphologies:</w:t>
      </w:r>
      <w:r>
        <w:rPr>
          <w:rFonts w:hint="eastAsia" w:ascii="Times New Roman" w:hAnsi="Times New Roman" w:cs="Times New Roman"/>
          <w:sz w:val="20"/>
          <w:szCs w:val="20"/>
        </w:rPr>
        <w:t xml:space="preserve"> </w:t>
      </w:r>
      <w:r>
        <w:rPr>
          <w:rFonts w:ascii="Times New Roman" w:hAnsi="Times New Roman" w:cs="Times New Roman"/>
          <w:sz w:val="20"/>
          <w:szCs w:val="20"/>
        </w:rPr>
        <w:t>AFM-based techniques struggle with highly rough, soft, or irregular surfaces where maintaining consistent probe-sample interaction can be difficult.</w:t>
      </w:r>
    </w:p>
    <w:p w14:paraId="71276A68">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(4) </w:t>
      </w:r>
      <w:r>
        <w:rPr>
          <w:rFonts w:ascii="Times New Roman" w:hAnsi="Times New Roman" w:cs="Times New Roman"/>
          <w:sz w:val="20"/>
          <w:szCs w:val="20"/>
        </w:rPr>
        <w:t>Environmental Sensitivity:</w:t>
      </w:r>
      <w:r>
        <w:rPr>
          <w:rFonts w:hint="eastAsia" w:ascii="Times New Roman" w:hAnsi="Times New Roman" w:cs="Times New Roman"/>
          <w:sz w:val="20"/>
          <w:szCs w:val="20"/>
        </w:rPr>
        <w:t xml:space="preserve"> </w:t>
      </w:r>
      <w:r>
        <w:rPr>
          <w:rFonts w:ascii="Times New Roman" w:hAnsi="Times New Roman" w:cs="Times New Roman"/>
          <w:sz w:val="20"/>
          <w:szCs w:val="20"/>
        </w:rPr>
        <w:t>NanoIR-AFM applications are sensitive to environmental factors such as temperature, humidity, and vibrations, which can affect stability and measurement accuracy.</w:t>
      </w:r>
    </w:p>
    <w:p w14:paraId="269DD93B">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(5) </w:t>
      </w:r>
      <w:r>
        <w:rPr>
          <w:rFonts w:ascii="Times New Roman" w:hAnsi="Times New Roman" w:cs="Times New Roman"/>
          <w:sz w:val="20"/>
          <w:szCs w:val="20"/>
        </w:rPr>
        <w:t>Prolonged Measurement Times:</w:t>
      </w:r>
      <w:r>
        <w:rPr>
          <w:rFonts w:hint="eastAsia" w:ascii="Times New Roman" w:hAnsi="Times New Roman" w:cs="Times New Roman"/>
          <w:sz w:val="20"/>
          <w:szCs w:val="20"/>
        </w:rPr>
        <w:t xml:space="preserve"> </w:t>
      </w:r>
      <w:r>
        <w:rPr>
          <w:rFonts w:ascii="Times New Roman" w:hAnsi="Times New Roman" w:cs="Times New Roman"/>
          <w:sz w:val="20"/>
          <w:szCs w:val="20"/>
        </w:rPr>
        <w:t>NanoIR-AFM often requires careful, time-consuming measurements, which can make it less practical for high-throughput analysis or time-sensitive studies.</w:t>
      </w:r>
    </w:p>
    <w:p w14:paraId="5DD484ED">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(6) </w:t>
      </w:r>
      <w:r>
        <w:rPr>
          <w:rFonts w:ascii="Times New Roman" w:hAnsi="Times New Roman" w:cs="Times New Roman"/>
          <w:sz w:val="20"/>
          <w:szCs w:val="20"/>
        </w:rPr>
        <w:t>Cost and Instrument Complexity:</w:t>
      </w:r>
      <w:r>
        <w:rPr>
          <w:rFonts w:hint="eastAsia" w:ascii="Times New Roman" w:hAnsi="Times New Roman" w:cs="Times New Roman"/>
          <w:sz w:val="20"/>
          <w:szCs w:val="20"/>
        </w:rPr>
        <w:t xml:space="preserve"> </w:t>
      </w:r>
      <w:r>
        <w:rPr>
          <w:rFonts w:ascii="Times New Roman" w:hAnsi="Times New Roman" w:cs="Times New Roman"/>
          <w:sz w:val="20"/>
          <w:szCs w:val="20"/>
        </w:rPr>
        <w:t>The advanced instrumentation required for NanoIR-AFM, including the integration of both AFM and infrared spectroscopy, makes the technique expensive and complex, limiting its accessibility.</w:t>
      </w:r>
    </w:p>
    <w:p w14:paraId="7F3678A2">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(7) </w:t>
      </w:r>
      <w:r>
        <w:rPr>
          <w:rFonts w:ascii="Times New Roman" w:hAnsi="Times New Roman" w:cs="Times New Roman"/>
          <w:sz w:val="20"/>
          <w:szCs w:val="20"/>
        </w:rPr>
        <w:t>Sample Preparation Requirements:</w:t>
      </w:r>
      <w:r>
        <w:rPr>
          <w:rFonts w:hint="eastAsia" w:ascii="Times New Roman" w:hAnsi="Times New Roman" w:cs="Times New Roman"/>
          <w:sz w:val="20"/>
          <w:szCs w:val="20"/>
        </w:rPr>
        <w:t xml:space="preserve"> </w:t>
      </w:r>
      <w:r>
        <w:rPr>
          <w:rFonts w:ascii="Times New Roman" w:hAnsi="Times New Roman" w:cs="Times New Roman"/>
          <w:sz w:val="20"/>
          <w:szCs w:val="20"/>
        </w:rPr>
        <w:t xml:space="preserve">NanoIR-AFM often requires extensive sample preparation (thin films, flat substrates, etc.), which may not always be feasible for certain specimens or in situ studies. </w:t>
      </w:r>
    </w:p>
    <w:p w14:paraId="7AF44DF7">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(8) </w:t>
      </w:r>
      <w:r>
        <w:rPr>
          <w:rFonts w:ascii="Times New Roman" w:hAnsi="Times New Roman" w:cs="Times New Roman"/>
          <w:sz w:val="20"/>
          <w:szCs w:val="20"/>
        </w:rPr>
        <w:t>Limited Penetration Depth:</w:t>
      </w:r>
      <w:r>
        <w:rPr>
          <w:rFonts w:hint="eastAsia" w:ascii="Times New Roman" w:hAnsi="Times New Roman" w:cs="Times New Roman"/>
          <w:sz w:val="20"/>
          <w:szCs w:val="20"/>
        </w:rPr>
        <w:t xml:space="preserve"> </w:t>
      </w:r>
      <w:r>
        <w:rPr>
          <w:rFonts w:ascii="Times New Roman" w:hAnsi="Times New Roman" w:cs="Times New Roman"/>
          <w:sz w:val="20"/>
          <w:szCs w:val="20"/>
        </w:rPr>
        <w:t>NanoIR-AFM is surface-sensitive, as the infrared signal measured is limited to superficial layers of the sample, making it less suited for studying bulk or subsurface properties.</w:t>
      </w:r>
    </w:p>
    <w:p w14:paraId="017C38D3">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4A523DF9">
      <w:pPr>
        <w:rPr>
          <w:rFonts w:ascii="Times New Roman" w:hAnsi="Times New Roman" w:cs="Times New Roman"/>
          <w:sz w:val="20"/>
          <w:szCs w:val="20"/>
        </w:rPr>
      </w:pPr>
      <w:r>
        <w:rPr>
          <w:rFonts w:hint="eastAsia" w:ascii="Times New Roman" w:hAnsi="Times New Roman" w:cs="Times New Roman"/>
          <w:sz w:val="20"/>
          <w:szCs w:val="20"/>
        </w:rPr>
        <w:t>1. Working Principles of NanoIR-AFM Technology:</w:t>
      </w:r>
    </w:p>
    <w:p w14:paraId="670C7C4F">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NanoIR-AFM technology combines atomic force microscopy (AFM) with infrared spectroscopy (IR) to achieve high spatial resolution and chemical analysis at the nanoscale. The technique involves using an AFM equipped with a sharp probe to measure the local absorption of infrared light by a sample. This combination allows for the creation of infrared absorption spectra that can chemically characterize and identify unknown samples, as well as chemical composition maps showing the spatial distribution of different chemical components. Modern advancements have enabled the investigation of samples on various substrates, increased sensitivity, and spatial resolution, and the ability to measure in aqueous liquid environments.</w:t>
      </w:r>
    </w:p>
    <w:p w14:paraId="29BDC8F5">
      <w:pPr>
        <w:rPr>
          <w:rFonts w:ascii="Times New Roman" w:hAnsi="Times New Roman" w:cs="Times New Roman"/>
          <w:sz w:val="20"/>
          <w:szCs w:val="20"/>
        </w:rPr>
      </w:pPr>
      <w:r>
        <w:rPr>
          <w:rFonts w:hint="eastAsia" w:ascii="Times New Roman" w:hAnsi="Times New Roman" w:cs="Times New Roman"/>
          <w:sz w:val="20"/>
          <w:szCs w:val="20"/>
        </w:rPr>
        <w:t>2. Primary Challenges Faced by NanoIR-AFM:</w:t>
      </w:r>
    </w:p>
    <w:p w14:paraId="38DF129A">
      <w:pPr>
        <w:ind w:firstLine="400" w:firstLineChars="200"/>
        <w:rPr>
          <w:rFonts w:ascii="Times New Roman" w:hAnsi="Times New Roman" w:cs="Times New Roman"/>
          <w:sz w:val="20"/>
          <w:szCs w:val="20"/>
        </w:rPr>
      </w:pPr>
      <w:r>
        <w:rPr>
          <w:rFonts w:hint="eastAsia" w:ascii="Times New Roman" w:hAnsi="Times New Roman" w:cs="Times New Roman"/>
          <w:sz w:val="20"/>
          <w:szCs w:val="20"/>
        </w:rPr>
        <w:t>Sample Preparation: Early setups required samples to be deposited on an infrared-transparent prism and be less than 1μm thick, which could limit the types of samples that could be analyzed.</w:t>
      </w:r>
    </w:p>
    <w:p w14:paraId="023CDEFF">
      <w:pPr>
        <w:ind w:firstLine="400" w:firstLineChars="200"/>
        <w:rPr>
          <w:rFonts w:ascii="Times New Roman" w:hAnsi="Times New Roman" w:cs="Times New Roman"/>
          <w:sz w:val="20"/>
          <w:szCs w:val="20"/>
        </w:rPr>
      </w:pPr>
      <w:r>
        <w:rPr>
          <w:rFonts w:hint="eastAsia" w:ascii="Times New Roman" w:hAnsi="Times New Roman" w:cs="Times New Roman"/>
          <w:sz w:val="20"/>
          <w:szCs w:val="20"/>
        </w:rPr>
        <w:t>Sensitivity and Resolution: Achieving high sensitivity and spatial resolution can be challenging, especially for thicker samples or samples with complex compositions.</w:t>
      </w:r>
    </w:p>
    <w:p w14:paraId="149A799A">
      <w:pPr>
        <w:ind w:firstLine="400" w:firstLineChars="200"/>
        <w:rPr>
          <w:rFonts w:ascii="Times New Roman" w:hAnsi="Times New Roman" w:cs="Times New Roman"/>
          <w:sz w:val="20"/>
          <w:szCs w:val="20"/>
        </w:rPr>
      </w:pPr>
      <w:r>
        <w:rPr>
          <w:rFonts w:hint="eastAsia" w:ascii="Times New Roman" w:hAnsi="Times New Roman" w:cs="Times New Roman"/>
          <w:sz w:val="20"/>
          <w:szCs w:val="20"/>
        </w:rPr>
        <w:t>Instrumentation Complexity: The integration of AFM and IR spectroscopy requires sophisticated instrumentation, which can be complex to operate and maintain.</w:t>
      </w:r>
    </w:p>
    <w:p w14:paraId="552B9892">
      <w:pPr>
        <w:ind w:firstLine="400" w:firstLineChars="200"/>
        <w:rPr>
          <w:rFonts w:ascii="Times New Roman" w:hAnsi="Times New Roman" w:cs="Times New Roman"/>
          <w:sz w:val="20"/>
          <w:szCs w:val="20"/>
        </w:rPr>
      </w:pPr>
      <w:r>
        <w:rPr>
          <w:rFonts w:hint="eastAsia" w:ascii="Times New Roman" w:hAnsi="Times New Roman" w:cs="Times New Roman"/>
          <w:sz w:val="20"/>
          <w:szCs w:val="20"/>
        </w:rPr>
        <w:t>Environmental Limitations: Measuring in different environments, such as aqueous liquids, can pose challenges for maintaining accuracy and resolution.</w:t>
      </w:r>
    </w:p>
    <w:p w14:paraId="0D275CA6">
      <w:pPr>
        <w:ind w:firstLine="400" w:firstLineChars="200"/>
        <w:rPr>
          <w:rFonts w:ascii="Times New Roman" w:hAnsi="Times New Roman" w:cs="Times New Roman"/>
          <w:sz w:val="20"/>
          <w:szCs w:val="20"/>
        </w:rPr>
      </w:pPr>
      <w:r>
        <w:rPr>
          <w:rFonts w:hint="eastAsia" w:ascii="Times New Roman" w:hAnsi="Times New Roman" w:cs="Times New Roman"/>
          <w:sz w:val="20"/>
          <w:szCs w:val="20"/>
        </w:rPr>
        <w:t>Cost: The advanced technology and instrumentation required for NanoIR-AFM can be expensive, potentially limiting its accessibility for some research applications.</w:t>
      </w:r>
    </w:p>
    <w:p w14:paraId="29940445">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Overall, while NanoIR-AFM offers powerful capabilities for nanoscale chemical analysis, these challenges may limit its applicability in specific situations.</w:t>
      </w:r>
    </w:p>
    <w:p w14:paraId="64C79907">
      <w:pPr>
        <w:pStyle w:val="31"/>
        <w:numPr>
          <w:ilvl w:val="0"/>
          <w:numId w:val="2"/>
        </w:numPr>
        <w:ind w:left="363" w:hanging="363"/>
        <w:outlineLvl w:val="0"/>
        <w:rPr>
          <w:rFonts w:ascii="Times New Roman" w:hAnsi="Times New Roman" w:cs="Times New Roman"/>
          <w:b/>
          <w:bCs/>
          <w:color w:val="2E75B6" w:themeColor="accent5" w:themeShade="BF"/>
          <w:szCs w:val="21"/>
        </w:rPr>
      </w:pPr>
      <w:r>
        <w:rPr>
          <w:rFonts w:hint="eastAsia" w:ascii="Times New Roman" w:hAnsi="Times New Roman" w:cs="Times New Roman"/>
          <w:b/>
          <w:bCs/>
          <w:color w:val="2E75B6" w:themeColor="accent5" w:themeShade="BF"/>
          <w:szCs w:val="21"/>
        </w:rPr>
        <w:t>What we can learn from the A-DA'D-A type NFA design when we design NFAs</w:t>
      </w:r>
    </w:p>
    <w:p w14:paraId="1E2B2487">
      <w:pPr>
        <w:outlineLvl w:val="1"/>
        <w:rPr>
          <w:rFonts w:ascii="Times New Roman" w:hAnsi="Times New Roman" w:cs="Times New Roman"/>
          <w:b/>
          <w:bCs/>
          <w:szCs w:val="21"/>
        </w:rPr>
      </w:pPr>
      <w:r>
        <w:rPr>
          <w:rFonts w:hint="eastAsia" w:ascii="Times New Roman" w:hAnsi="Times New Roman" w:cs="Times New Roman"/>
          <w:b/>
          <w:bCs/>
          <w:szCs w:val="21"/>
        </w:rPr>
        <w:t>Response A:</w:t>
      </w:r>
    </w:p>
    <w:p w14:paraId="228D3C46">
      <w:pPr>
        <w:ind w:firstLine="400" w:firstLineChars="200"/>
        <w:rPr>
          <w:rFonts w:ascii="Times New Roman" w:hAnsi="Times New Roman" w:cs="Times New Roman"/>
          <w:sz w:val="20"/>
          <w:szCs w:val="20"/>
        </w:rPr>
      </w:pPr>
      <w:r>
        <w:rPr>
          <w:rFonts w:hint="eastAsia" w:ascii="Times New Roman" w:hAnsi="Times New Roman" w:cs="Times New Roman"/>
          <w:sz w:val="20"/>
          <w:szCs w:val="20"/>
        </w:rPr>
        <w:t>Here are the key lessons from the A-DA'D-A type NFA design for designing next-generation NFAs:</w:t>
      </w:r>
    </w:p>
    <w:p w14:paraId="123ED02A">
      <w:pPr>
        <w:ind w:firstLine="400" w:firstLineChars="200"/>
        <w:rPr>
          <w:rFonts w:ascii="Times New Roman" w:hAnsi="Times New Roman" w:cs="Times New Roman"/>
          <w:sz w:val="20"/>
          <w:szCs w:val="20"/>
        </w:rPr>
      </w:pPr>
      <w:r>
        <w:rPr>
          <w:rFonts w:hint="eastAsia" w:ascii="Times New Roman" w:hAnsi="Times New Roman" w:cs="Times New Roman"/>
          <w:sz w:val="20"/>
          <w:szCs w:val="20"/>
        </w:rPr>
        <w:t>Modular Design: Use a modular approach to independently optimize donor cores and acceptor end groups, enabling precise tuning of properties.</w:t>
      </w:r>
    </w:p>
    <w:p w14:paraId="29450A33">
      <w:pPr>
        <w:ind w:firstLine="400" w:firstLineChars="200"/>
        <w:rPr>
          <w:rFonts w:ascii="Times New Roman" w:hAnsi="Times New Roman" w:cs="Times New Roman"/>
          <w:sz w:val="20"/>
          <w:szCs w:val="20"/>
          <w:highlight w:val="none"/>
        </w:rPr>
      </w:pPr>
      <w:r>
        <w:rPr>
          <w:rFonts w:hint="eastAsia" w:ascii="Times New Roman" w:hAnsi="Times New Roman" w:cs="Times New Roman"/>
          <w:sz w:val="20"/>
          <w:szCs w:val="20"/>
        </w:rPr>
        <w:t>Energy Level Alignment: Carefully align HOMO/LUMO levels to minimize energy losses, ensure efficient charge transfer, and achieve high</w:t>
      </w:r>
      <w:r>
        <w:rPr>
          <w:rFonts w:hint="eastAsia" w:ascii="Times New Roman" w:hAnsi="Times New Roman" w:cs="Times New Roman"/>
          <w:sz w:val="20"/>
          <w:szCs w:val="20"/>
          <w:lang w:val="en-US" w:eastAsia="zh-CN"/>
        </w:rPr>
        <w:t>Voc</w:t>
      </w:r>
      <w:r>
        <w:rPr>
          <w:rFonts w:hint="eastAsia" w:ascii="Times New Roman" w:hAnsi="Times New Roman" w:cs="Times New Roman"/>
          <w:sz w:val="20"/>
          <w:szCs w:val="20"/>
          <w:highlight w:val="none"/>
        </w:rPr>
        <w:t>.</w:t>
      </w:r>
    </w:p>
    <w:p w14:paraId="4DC416C4">
      <w:pPr>
        <w:ind w:firstLine="400" w:firstLineChars="200"/>
        <w:rPr>
          <w:rFonts w:ascii="Times New Roman" w:hAnsi="Times New Roman" w:cs="Times New Roman"/>
          <w:sz w:val="20"/>
          <w:szCs w:val="20"/>
        </w:rPr>
      </w:pPr>
      <w:r>
        <w:rPr>
          <w:rFonts w:hint="eastAsia" w:ascii="Times New Roman" w:hAnsi="Times New Roman" w:cs="Times New Roman"/>
          <w:sz w:val="20"/>
          <w:szCs w:val="20"/>
        </w:rPr>
        <w:t>Broad and Strong Absorption: Leverage intramolecular charge transfer (ICT) to achieve broad and intense absorption, covering visible and NIR regions.</w:t>
      </w:r>
    </w:p>
    <w:p w14:paraId="7AF493D4">
      <w:pPr>
        <w:ind w:firstLine="400" w:firstLineChars="200"/>
        <w:rPr>
          <w:rFonts w:ascii="Times New Roman" w:hAnsi="Times New Roman" w:cs="Times New Roman"/>
          <w:sz w:val="20"/>
          <w:szCs w:val="20"/>
        </w:rPr>
      </w:pPr>
      <w:r>
        <w:rPr>
          <w:rFonts w:hint="eastAsia" w:ascii="Times New Roman" w:hAnsi="Times New Roman" w:cs="Times New Roman"/>
          <w:sz w:val="20"/>
          <w:szCs w:val="20"/>
        </w:rPr>
        <w:t>Morphology Control: Use side chains and molecular asymmetry to optimize packing, phase separation, and nanoscale morphology.</w:t>
      </w:r>
    </w:p>
    <w:p w14:paraId="66E5F4EF">
      <w:pPr>
        <w:ind w:firstLine="400" w:firstLineChars="200"/>
        <w:rPr>
          <w:rFonts w:ascii="Times New Roman" w:hAnsi="Times New Roman" w:cs="Times New Roman"/>
          <w:sz w:val="20"/>
          <w:szCs w:val="20"/>
        </w:rPr>
      </w:pPr>
      <w:r>
        <w:rPr>
          <w:rFonts w:hint="eastAsia" w:ascii="Times New Roman" w:hAnsi="Times New Roman" w:cs="Times New Roman"/>
          <w:sz w:val="20"/>
          <w:szCs w:val="20"/>
        </w:rPr>
        <w:t>Low Energy Loss: Minimize energy offsets and non-radiative recombination to reduce energy losses and improve efficiency.</w:t>
      </w:r>
    </w:p>
    <w:p w14:paraId="53D15E1F">
      <w:pPr>
        <w:ind w:firstLine="400" w:firstLineChars="200"/>
        <w:rPr>
          <w:rFonts w:ascii="Times New Roman" w:hAnsi="Times New Roman" w:cs="Times New Roman"/>
          <w:sz w:val="20"/>
          <w:szCs w:val="20"/>
        </w:rPr>
      </w:pPr>
      <w:r>
        <w:rPr>
          <w:rFonts w:hint="eastAsia" w:ascii="Times New Roman" w:hAnsi="Times New Roman" w:cs="Times New Roman"/>
          <w:sz w:val="20"/>
          <w:szCs w:val="20"/>
        </w:rPr>
        <w:t>Rigidity vs. Flexibility: Balance molecular rigidity (for charge transport) with flexibility (for processability and morphology control).</w:t>
      </w:r>
    </w:p>
    <w:p w14:paraId="10DD1C47">
      <w:pPr>
        <w:ind w:firstLine="400" w:firstLineChars="200"/>
        <w:rPr>
          <w:rFonts w:ascii="Times New Roman" w:hAnsi="Times New Roman" w:cs="Times New Roman"/>
          <w:sz w:val="20"/>
          <w:szCs w:val="20"/>
        </w:rPr>
      </w:pPr>
      <w:r>
        <w:rPr>
          <w:rFonts w:hint="eastAsia" w:ascii="Times New Roman" w:hAnsi="Times New Roman" w:cs="Times New Roman"/>
          <w:sz w:val="20"/>
          <w:szCs w:val="20"/>
        </w:rPr>
        <w:t>End-Group Engineering: Modify end groups (e.g., fluorination) to stabilize energy levels, enhance packing, and improve device performance.</w:t>
      </w:r>
    </w:p>
    <w:p w14:paraId="4C0CF9D8">
      <w:pPr>
        <w:ind w:firstLine="400" w:firstLineChars="200"/>
        <w:rPr>
          <w:rFonts w:ascii="Times New Roman" w:hAnsi="Times New Roman" w:cs="Times New Roman"/>
          <w:sz w:val="20"/>
          <w:szCs w:val="20"/>
        </w:rPr>
      </w:pPr>
      <w:r>
        <w:rPr>
          <w:rFonts w:hint="eastAsia" w:ascii="Times New Roman" w:hAnsi="Times New Roman" w:cs="Times New Roman"/>
          <w:sz w:val="20"/>
          <w:szCs w:val="20"/>
        </w:rPr>
        <w:t>Stability: Design materials with strong intramolecular interactions and robust chemical structures for better thermal and photostability.</w:t>
      </w:r>
    </w:p>
    <w:p w14:paraId="44CE7F5C">
      <w:pPr>
        <w:ind w:firstLine="400" w:firstLineChars="200"/>
        <w:rPr>
          <w:rFonts w:ascii="Times New Roman" w:hAnsi="Times New Roman" w:cs="Times New Roman"/>
          <w:sz w:val="20"/>
          <w:szCs w:val="20"/>
        </w:rPr>
      </w:pPr>
      <w:r>
        <w:rPr>
          <w:rFonts w:hint="eastAsia" w:ascii="Times New Roman" w:hAnsi="Times New Roman" w:cs="Times New Roman"/>
          <w:sz w:val="20"/>
          <w:szCs w:val="20"/>
        </w:rPr>
        <w:t>Scalability and Processability: Ensure good solubility and processability for large-scale manufacturing, such as solution processing.</w:t>
      </w:r>
    </w:p>
    <w:p w14:paraId="1762D73E">
      <w:pPr>
        <w:ind w:firstLine="400" w:firstLineChars="200"/>
        <w:rPr>
          <w:rFonts w:ascii="Times New Roman" w:hAnsi="Times New Roman" w:cs="Times New Roman"/>
          <w:sz w:val="20"/>
          <w:szCs w:val="20"/>
        </w:rPr>
      </w:pPr>
      <w:r>
        <w:rPr>
          <w:rFonts w:hint="eastAsia" w:ascii="Times New Roman" w:hAnsi="Times New Roman" w:cs="Times New Roman"/>
          <w:sz w:val="20"/>
          <w:szCs w:val="20"/>
        </w:rPr>
        <w:t>Asymmetric Design: Introduce asymmetry to optimize molecular packing and improve film morphology.</w:t>
      </w:r>
    </w:p>
    <w:p w14:paraId="14F55965">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These principles can guide the design of high-performance NFAs with improved efficiency, stability, and scalability for organic solar cells and other optoelectronic applications.</w:t>
      </w:r>
    </w:p>
    <w:p w14:paraId="224BB6F9">
      <w:pPr>
        <w:outlineLvl w:val="1"/>
        <w:rPr>
          <w:rFonts w:ascii="Times New Roman" w:hAnsi="Times New Roman" w:cs="Times New Roman"/>
          <w:b/>
          <w:bCs/>
          <w:szCs w:val="21"/>
        </w:rPr>
      </w:pPr>
      <w:r>
        <w:rPr>
          <w:rFonts w:hint="eastAsia" w:ascii="Times New Roman" w:hAnsi="Times New Roman" w:cs="Times New Roman"/>
          <w:b/>
          <w:bCs/>
          <w:szCs w:val="21"/>
        </w:rPr>
        <w:t>Response B:</w:t>
      </w:r>
    </w:p>
    <w:p w14:paraId="1DC137B8">
      <w:pPr>
        <w:ind w:firstLine="400" w:firstLineChars="200"/>
        <w:rPr>
          <w:rFonts w:ascii="Times New Roman" w:hAnsi="Times New Roman" w:cs="Times New Roman"/>
          <w:sz w:val="20"/>
          <w:szCs w:val="20"/>
        </w:rPr>
      </w:pPr>
      <w:r>
        <w:rPr>
          <w:rFonts w:hint="eastAsia" w:ascii="Times New Roman" w:hAnsi="Times New Roman" w:cs="Times New Roman"/>
          <w:sz w:val="20"/>
          <w:szCs w:val="20"/>
        </w:rPr>
        <w:t>Key lessons from A-D-A'-D-A type non-fullerene acceptor (NFA) design when designing NFAs:</w:t>
      </w:r>
    </w:p>
    <w:p w14:paraId="7EFD71FE">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Complementary Absorptions:</w:t>
      </w:r>
    </w:p>
    <w:p w14:paraId="5C0B0ECA">
      <w:pPr>
        <w:ind w:firstLine="400" w:firstLineChars="200"/>
        <w:rPr>
          <w:rFonts w:ascii="Times New Roman" w:hAnsi="Times New Roman" w:cs="Times New Roman"/>
          <w:sz w:val="20"/>
          <w:szCs w:val="20"/>
        </w:rPr>
      </w:pPr>
      <w:r>
        <w:rPr>
          <w:rFonts w:hint="eastAsia" w:ascii="Times New Roman" w:hAnsi="Times New Roman" w:cs="Times New Roman"/>
          <w:sz w:val="20"/>
          <w:szCs w:val="20"/>
        </w:rPr>
        <w:t>In the A-D-A'-D-A structure, different donor (D) and acceptor (A, A') segments are carefully chosen to ensure complementary absorption spectra. This allows for improved light harvesting across a broader range of the solar spectrum, maximizing photon utilization.</w:t>
      </w:r>
    </w:p>
    <w:p w14:paraId="417190F7">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Energy Level Matching:</w:t>
      </w:r>
    </w:p>
    <w:p w14:paraId="3CD32122">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donor and acceptor segments in the A-D-A'-D-A structure are designed to achieve optimal energy levels. This ensures:</w:t>
      </w:r>
    </w:p>
    <w:p w14:paraId="0AAAE12F">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Efficient charge separation at the donor-acceptor interface.</w:t>
      </w:r>
    </w:p>
    <w:p w14:paraId="588D74A8">
      <w:pPr>
        <w:ind w:firstLine="400" w:firstLineChars="200"/>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 xml:space="preserve">) Minimal voltage loss, which is defined as </w:t>
      </w:r>
      <w:r>
        <w:rPr>
          <w:rFonts w:ascii="Times New Roman" w:hAnsi="Times New Roman" w:cs="Times New Roman"/>
          <w:sz w:val="20"/>
          <w:szCs w:val="20"/>
          <w:highlight w:val="none"/>
        </w:rPr>
        <w:t>V_loss = Egap/q − Voc.</w:t>
      </w:r>
      <w:r>
        <w:rPr>
          <w:rFonts w:ascii="Times New Roman" w:hAnsi="Times New Roman" w:cs="Times New Roman"/>
          <w:sz w:val="20"/>
          <w:szCs w:val="20"/>
        </w:rPr>
        <w:t xml:space="preserve"> Lower voltage losses directly enhance the power conversion efficiency (PCE) of the organic solar cell.</w:t>
      </w:r>
    </w:p>
    <w:p w14:paraId="1F0699A4">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Balanced Charge Carrier Mobilities:</w:t>
      </w:r>
    </w:p>
    <w:p w14:paraId="5B40FAB3">
      <w:pPr>
        <w:ind w:firstLine="400" w:firstLineChars="200"/>
        <w:rPr>
          <w:rFonts w:ascii="Times New Roman" w:hAnsi="Times New Roman" w:cs="Times New Roman"/>
          <w:sz w:val="20"/>
          <w:szCs w:val="20"/>
        </w:rPr>
      </w:pPr>
      <w:r>
        <w:rPr>
          <w:rFonts w:hint="eastAsia" w:ascii="Times New Roman" w:hAnsi="Times New Roman" w:cs="Times New Roman"/>
          <w:sz w:val="20"/>
          <w:szCs w:val="20"/>
        </w:rPr>
        <w:t>Proper selection of donor and acceptor components in these structures promotes balanced charge mobilities. This prevents charge accumulation and carrier recombination at interfaces, improving photocurrent and device stability.</w:t>
      </w:r>
    </w:p>
    <w:p w14:paraId="0128D727">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Morphological Control:</w:t>
      </w:r>
    </w:p>
    <w:p w14:paraId="16D29ACF">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modularity of A-D-A'-D-A designs allows for fine-tuning of crystallinity, domain size, and molecular orientation (e.g., favorable "face-on" orientation). These factors ensure better phase-separated morphologies in the active layer, critical for efficient exciton dissociation and charge transport.</w:t>
      </w:r>
    </w:p>
    <w:p w14:paraId="44E6E634">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Tunable Optical Bandgap:</w:t>
      </w:r>
    </w:p>
    <w:p w14:paraId="691A20EF">
      <w:pPr>
        <w:ind w:firstLine="400" w:firstLineChars="200"/>
        <w:rPr>
          <w:rFonts w:ascii="Times New Roman" w:hAnsi="Times New Roman" w:cs="Times New Roman"/>
          <w:sz w:val="20"/>
          <w:szCs w:val="20"/>
          <w:highlight w:val="none"/>
        </w:rPr>
      </w:pPr>
      <w:r>
        <w:rPr>
          <w:rFonts w:hint="eastAsia" w:ascii="Times New Roman" w:hAnsi="Times New Roman" w:cs="Times New Roman"/>
          <w:sz w:val="20"/>
          <w:szCs w:val="20"/>
        </w:rPr>
        <w:t>The A-D-A'-D-A system provides flexibility in tuning the optic</w:t>
      </w:r>
      <w:r>
        <w:rPr>
          <w:rFonts w:hint="eastAsia" w:ascii="Times New Roman" w:hAnsi="Times New Roman" w:cs="Times New Roman"/>
          <w:sz w:val="20"/>
          <w:szCs w:val="20"/>
          <w:highlight w:val="none"/>
        </w:rPr>
        <w:t>al bandgap (Eg), which can be tailored for specific applications, such as high-efficiency tandem OSCs or devices with NIR-II response. The lower Eg promotes absorption in the near-infrared region, increasing the short-circuit current (J_sc).</w:t>
      </w:r>
    </w:p>
    <w:p w14:paraId="650AC3BA">
      <w:pPr>
        <w:ind w:firstLine="400" w:firstLineChars="200"/>
        <w:rPr>
          <w:rFonts w:ascii="Times New Roman" w:hAnsi="Times New Roman" w:cs="Times New Roman"/>
          <w:sz w:val="20"/>
          <w:szCs w:val="20"/>
        </w:rPr>
      </w:pPr>
      <w:r>
        <w:rPr>
          <w:rFonts w:hint="eastAsia" w:ascii="Times New Roman" w:hAnsi="Times New Roman" w:cs="Times New Roman"/>
          <w:sz w:val="20"/>
          <w:szCs w:val="20"/>
        </w:rPr>
        <w:t>6. Improved Device Stability:</w:t>
      </w:r>
    </w:p>
    <w:p w14:paraId="6903B426">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robust design and modular features of A-D-A'-D-A NFAs help address issues like dimerization and aggregation over time, leading to better long-term device performance and stability.</w:t>
      </w:r>
    </w:p>
    <w:p w14:paraId="2FC8C22A">
      <w:pPr>
        <w:ind w:firstLine="400" w:firstLineChars="200"/>
        <w:rPr>
          <w:rFonts w:ascii="Times New Roman" w:hAnsi="Times New Roman" w:cs="Times New Roman"/>
          <w:sz w:val="20"/>
          <w:szCs w:val="20"/>
        </w:rPr>
      </w:pPr>
      <w:r>
        <w:rPr>
          <w:rFonts w:hint="eastAsia" w:ascii="Times New Roman" w:hAnsi="Times New Roman" w:cs="Times New Roman"/>
          <w:sz w:val="20"/>
          <w:szCs w:val="20"/>
        </w:rPr>
        <w:t>7. Synergistic D-A Interactions:</w:t>
      </w:r>
    </w:p>
    <w:p w14:paraId="43CD865F">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synergy between donor and acceptor segments in the A-D-A'-D-A framework enhances the internal charge-transfer characteristics, reducing energy losses and improving overall quantum efficiency.</w:t>
      </w:r>
    </w:p>
    <w:p w14:paraId="6A9E6C95">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By leveraging these principles, NFAs with A-D-A'-D-A architectures can achieve high PCEs and excellent stability, making them highly promising for future organic photovoltaic applications.</w:t>
      </w:r>
    </w:p>
    <w:p w14:paraId="4752C2CC">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683476C6">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A-DA'D-A type non-fullerene acceptor (NFA) design provides several insights for designing NFAs:</w:t>
      </w:r>
    </w:p>
    <w:p w14:paraId="35FD6782">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Molecular Structure: The A-DA'D-A structure typically consists of alternating electron-donating (D) and electron-accepting (A) units. This arrangement can enhance charge transport and separation, leading to improved photovoltaic performance.</w:t>
      </w:r>
    </w:p>
    <w:p w14:paraId="157AEA43">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Energy Levels: The design allows for fine-tuning of the HOMO and LUMO energy levels, which is crucial for optimizing the open-circuit voltage (Voc) and overall efficiency of organic solar cells.</w:t>
      </w:r>
    </w:p>
    <w:p w14:paraId="5F6125DD">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Aggregation and Morphology: The A-DA'D-A structure can influence the molecular packing and aggregation behavior, which affects the film morphology and, consequently, the charge transport properties.</w:t>
      </w:r>
    </w:p>
    <w:p w14:paraId="473B53A0">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Synthetic Accessibility: The modular nature of the A-DA'D-A design can facilitate the synthesis of a wide variety of NFAs with different properties by varying the donor and acceptor units.</w:t>
      </w:r>
    </w:p>
    <w:p w14:paraId="15BFCD8C">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Stability: The design can also impact the thermal and photostability of the NFAs, which is important for the long-term performance of organic solar cells.</w:t>
      </w:r>
    </w:p>
    <w:p w14:paraId="628BD8E8">
      <w:pPr>
        <w:spacing w:after="100" w:afterAutospacing="1"/>
        <w:ind w:firstLine="400" w:firstLineChars="200"/>
        <w:rPr>
          <w:rFonts w:ascii="Times New Roman" w:hAnsi="Times New Roman" w:cs="Times New Roman"/>
          <w:sz w:val="20"/>
          <w:szCs w:val="20"/>
        </w:rPr>
      </w:pPr>
      <w:r>
        <w:rPr>
          <w:rFonts w:hint="eastAsia" w:ascii="Times New Roman" w:hAnsi="Times New Roman" w:cs="Times New Roman"/>
          <w:sz w:val="20"/>
          <w:szCs w:val="20"/>
        </w:rPr>
        <w:t>Overall, the A-DA'D-A type NFA design offers a versatile framework for developing high-performance NFAs with tailored properties for specific applications in organic photovoltaics.</w:t>
      </w:r>
    </w:p>
    <w:p w14:paraId="60953514">
      <w:pPr>
        <w:outlineLvl w:val="0"/>
        <w:rPr>
          <w:rFonts w:ascii="Times New Roman" w:hAnsi="Times New Roman" w:cs="Times New Roman"/>
          <w:szCs w:val="21"/>
        </w:rPr>
      </w:pPr>
      <w:r>
        <w:rPr>
          <w:rFonts w:hint="eastAsia" w:ascii="Times New Roman" w:hAnsi="Times New Roman" w:cs="Times New Roman"/>
          <w:b/>
          <w:bCs/>
          <w:color w:val="2E75B6" w:themeColor="accent5" w:themeShade="BF"/>
          <w:szCs w:val="21"/>
        </w:rPr>
        <w:t>12. Aspects that need further investigation of random copolymerization strategy of Polymer Photovoltaic Materials</w:t>
      </w:r>
    </w:p>
    <w:p w14:paraId="372712E2">
      <w:pPr>
        <w:outlineLvl w:val="1"/>
        <w:rPr>
          <w:rFonts w:ascii="Times New Roman" w:hAnsi="Times New Roman" w:cs="Times New Roman"/>
          <w:b/>
          <w:bCs/>
          <w:szCs w:val="21"/>
        </w:rPr>
      </w:pPr>
      <w:r>
        <w:rPr>
          <w:rFonts w:hint="eastAsia" w:ascii="Times New Roman" w:hAnsi="Times New Roman" w:cs="Times New Roman"/>
          <w:b/>
          <w:bCs/>
          <w:szCs w:val="21"/>
        </w:rPr>
        <w:t>Response A:</w:t>
      </w:r>
    </w:p>
    <w:p w14:paraId="1FDCDFA4">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Structure-Property Relationships: How monomer ratios and backbone planarity affect optoelectronic properties and charge transport.</w:t>
      </w:r>
    </w:p>
    <w:p w14:paraId="76A823D7">
      <w:pPr>
        <w:ind w:firstLine="400" w:firstLineChars="200"/>
        <w:rPr>
          <w:rFonts w:ascii="Times New Roman" w:hAnsi="Times New Roman" w:cs="Times New Roman"/>
          <w:sz w:val="20"/>
          <w:szCs w:val="20"/>
        </w:rPr>
      </w:pPr>
      <w:r>
        <w:rPr>
          <w:rFonts w:hint="eastAsia" w:ascii="Times New Roman" w:hAnsi="Times New Roman" w:cs="Times New Roman"/>
          <w:sz w:val="20"/>
          <w:szCs w:val="20"/>
        </w:rPr>
        <w:t>2.Morphology Control: Impact of randomness on phase separation, domain purity, and crystallinity.</w:t>
      </w:r>
    </w:p>
    <w:p w14:paraId="5B964C55">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Energy Level Alignment: Effects of random monomer distribution on HOMO/LUMO levels, trap states, and donor-acceptor energy alignment.</w:t>
      </w:r>
    </w:p>
    <w:p w14:paraId="1A5A6824">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Charge Transport and Recombination: Correlation between structural disorder and charge mobility, recombination, and charge-transfer states.</w:t>
      </w:r>
    </w:p>
    <w:p w14:paraId="03D9313A">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Stability and Scalability: Enhancing thermal/photochemical stability and developing cost-effective, scalable synthesis methods.</w:t>
      </w:r>
    </w:p>
    <w:p w14:paraId="1CA1F50C">
      <w:pPr>
        <w:ind w:firstLine="400" w:firstLineChars="200"/>
        <w:rPr>
          <w:rFonts w:ascii="Times New Roman" w:hAnsi="Times New Roman" w:cs="Times New Roman"/>
          <w:sz w:val="20"/>
          <w:szCs w:val="20"/>
        </w:rPr>
      </w:pPr>
      <w:r>
        <w:rPr>
          <w:rFonts w:hint="eastAsia" w:ascii="Times New Roman" w:hAnsi="Times New Roman" w:cs="Times New Roman"/>
          <w:sz w:val="20"/>
          <w:szCs w:val="20"/>
        </w:rPr>
        <w:t>6. Device Architecture and Processing: Compatibility with non-fullerene acceptors (NFAs) and optimization of processing conditions for morphology control.</w:t>
      </w:r>
    </w:p>
    <w:p w14:paraId="4302181B">
      <w:pPr>
        <w:ind w:firstLine="400" w:firstLineChars="200"/>
        <w:rPr>
          <w:rFonts w:ascii="Times New Roman" w:hAnsi="Times New Roman" w:cs="Times New Roman"/>
          <w:sz w:val="20"/>
          <w:szCs w:val="20"/>
        </w:rPr>
      </w:pPr>
      <w:r>
        <w:rPr>
          <w:rFonts w:hint="eastAsia" w:ascii="Times New Roman" w:hAnsi="Times New Roman" w:cs="Times New Roman"/>
          <w:sz w:val="20"/>
          <w:szCs w:val="20"/>
        </w:rPr>
        <w:t>7. Theoretical and Computational Modeling: Predictive models for random copolymer behavior and quantification of disorder effects.</w:t>
      </w:r>
    </w:p>
    <w:p w14:paraId="6847CAF4">
      <w:pPr>
        <w:ind w:firstLine="400" w:firstLineChars="200"/>
        <w:rPr>
          <w:rFonts w:ascii="Times New Roman" w:hAnsi="Times New Roman" w:cs="Times New Roman"/>
          <w:sz w:val="20"/>
          <w:szCs w:val="20"/>
        </w:rPr>
      </w:pPr>
      <w:r>
        <w:rPr>
          <w:rFonts w:hint="eastAsia" w:ascii="Times New Roman" w:hAnsi="Times New Roman" w:cs="Times New Roman"/>
          <w:sz w:val="20"/>
          <w:szCs w:val="20"/>
        </w:rPr>
        <w:t>8. Environmental and Sustainability Concerns: Green synthesis approaches and life cycle analysis to minimize environmental impact.</w:t>
      </w:r>
    </w:p>
    <w:p w14:paraId="77D48688">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These areas need focused investigation to fully leverage the potential of random copolymerization in polymer photovoltaics.</w:t>
      </w:r>
    </w:p>
    <w:p w14:paraId="19176081">
      <w:pPr>
        <w:outlineLvl w:val="1"/>
        <w:rPr>
          <w:rFonts w:ascii="Times New Roman" w:hAnsi="Times New Roman" w:cs="Times New Roman"/>
          <w:b/>
          <w:bCs/>
          <w:szCs w:val="21"/>
        </w:rPr>
      </w:pPr>
      <w:r>
        <w:rPr>
          <w:rFonts w:hint="eastAsia" w:ascii="Times New Roman" w:hAnsi="Times New Roman" w:cs="Times New Roman"/>
          <w:b/>
          <w:bCs/>
          <w:szCs w:val="21"/>
        </w:rPr>
        <w:t>Response B:</w:t>
      </w:r>
    </w:p>
    <w:p w14:paraId="7003B361">
      <w:pPr>
        <w:ind w:firstLine="400" w:firstLineChars="200"/>
        <w:rPr>
          <w:rFonts w:ascii="Times New Roman" w:hAnsi="Times New Roman" w:cs="Times New Roman"/>
          <w:sz w:val="20"/>
          <w:szCs w:val="20"/>
        </w:rPr>
      </w:pPr>
      <w:r>
        <w:rPr>
          <w:rFonts w:hint="eastAsia" w:ascii="Times New Roman" w:hAnsi="Times New Roman" w:cs="Times New Roman"/>
          <w:sz w:val="20"/>
          <w:szCs w:val="20"/>
        </w:rPr>
        <w:t>Key aspects needing further investigation of the random copolymerization strategy in Polymer Photovoltaic Materials include:</w:t>
      </w:r>
    </w:p>
    <w:p w14:paraId="4194FE10">
      <w:pPr>
        <w:ind w:firstLine="400" w:firstLineChars="200"/>
        <w:rPr>
          <w:rFonts w:ascii="Times New Roman" w:hAnsi="Times New Roman" w:cs="Times New Roman"/>
          <w:sz w:val="20"/>
          <w:szCs w:val="20"/>
        </w:rPr>
      </w:pPr>
      <w:r>
        <w:rPr>
          <w:rFonts w:hint="eastAsia" w:ascii="Times New Roman" w:hAnsi="Times New Roman" w:cs="Times New Roman"/>
          <w:sz w:val="20"/>
          <w:szCs w:val="20"/>
        </w:rPr>
        <w:t>1.Morphological Control:</w:t>
      </w:r>
    </w:p>
    <w:p w14:paraId="0BE37CBD">
      <w:pPr>
        <w:ind w:firstLine="400" w:firstLineChars="200"/>
        <w:rPr>
          <w:rFonts w:ascii="Times New Roman" w:hAnsi="Times New Roman" w:cs="Times New Roman"/>
          <w:sz w:val="20"/>
          <w:szCs w:val="20"/>
        </w:rPr>
      </w:pPr>
      <w:r>
        <w:rPr>
          <w:rFonts w:hint="eastAsia" w:ascii="Times New Roman" w:hAnsi="Times New Roman" w:cs="Times New Roman"/>
          <w:sz w:val="20"/>
          <w:szCs w:val="20"/>
        </w:rPr>
        <w:t>Random copolymerization can lead to irregular molecular arrangements, affecting phase separation and morphology control in active layers.</w:t>
      </w:r>
    </w:p>
    <w:p w14:paraId="313518BB">
      <w:pPr>
        <w:ind w:firstLine="400" w:firstLineChars="200"/>
        <w:rPr>
          <w:rFonts w:ascii="Times New Roman" w:hAnsi="Times New Roman" w:cs="Times New Roman"/>
          <w:sz w:val="20"/>
          <w:szCs w:val="20"/>
        </w:rPr>
      </w:pPr>
      <w:r>
        <w:rPr>
          <w:rFonts w:hint="eastAsia" w:ascii="Times New Roman" w:hAnsi="Times New Roman" w:cs="Times New Roman"/>
          <w:sz w:val="20"/>
          <w:szCs w:val="20"/>
        </w:rPr>
        <w:t>A deeper understanding of how to optimize morphology for efficient charge transport is required.</w:t>
      </w:r>
    </w:p>
    <w:p w14:paraId="463507BC">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Energy Level Alignment:</w:t>
      </w:r>
    </w:p>
    <w:p w14:paraId="7B768020">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strategy impacts the tuning of HOMO (Highest Occupied Molecular Orbital) and LUMO (Lowest Unoccupied Molecular Orbital).</w:t>
      </w:r>
    </w:p>
    <w:p w14:paraId="0C1E3ABF">
      <w:pPr>
        <w:ind w:firstLine="400" w:firstLineChars="200"/>
        <w:rPr>
          <w:rFonts w:ascii="Times New Roman" w:hAnsi="Times New Roman" w:cs="Times New Roman"/>
          <w:sz w:val="20"/>
          <w:szCs w:val="20"/>
        </w:rPr>
      </w:pPr>
      <w:r>
        <w:rPr>
          <w:rFonts w:hint="eastAsia" w:ascii="Times New Roman" w:hAnsi="Times New Roman" w:cs="Times New Roman"/>
          <w:sz w:val="20"/>
          <w:szCs w:val="20"/>
        </w:rPr>
        <w:t>Detailed insights into how molecular randomness affects energy level alignment for better exciton dissociation and charge collection are necessary.</w:t>
      </w:r>
    </w:p>
    <w:p w14:paraId="38122B21">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Stability Under Various Conditions:</w:t>
      </w:r>
    </w:p>
    <w:p w14:paraId="2C0D528D">
      <w:pPr>
        <w:ind w:firstLine="400" w:firstLineChars="200"/>
        <w:rPr>
          <w:rFonts w:ascii="Times New Roman" w:hAnsi="Times New Roman" w:cs="Times New Roman"/>
          <w:sz w:val="20"/>
          <w:szCs w:val="20"/>
        </w:rPr>
      </w:pPr>
      <w:r>
        <w:rPr>
          <w:rFonts w:hint="eastAsia" w:ascii="Times New Roman" w:hAnsi="Times New Roman" w:cs="Times New Roman"/>
          <w:sz w:val="20"/>
          <w:szCs w:val="20"/>
        </w:rPr>
        <w:t>Random copolymers may exhibit different chemical and thermal stabilities compared to regular copolymers.</w:t>
      </w:r>
    </w:p>
    <w:p w14:paraId="1624C298">
      <w:pPr>
        <w:ind w:firstLine="400" w:firstLineChars="200"/>
        <w:rPr>
          <w:rFonts w:ascii="Times New Roman" w:hAnsi="Times New Roman" w:cs="Times New Roman"/>
          <w:sz w:val="20"/>
          <w:szCs w:val="20"/>
        </w:rPr>
      </w:pPr>
      <w:r>
        <w:rPr>
          <w:rFonts w:hint="eastAsia" w:ascii="Times New Roman" w:hAnsi="Times New Roman" w:cs="Times New Roman"/>
          <w:sz w:val="20"/>
          <w:szCs w:val="20"/>
        </w:rPr>
        <w:t>Studies on photochemical degradation and thermal aging under real-world conditions need further exploration.</w:t>
      </w:r>
    </w:p>
    <w:p w14:paraId="7E0C700A">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Impact on Charge Transport:</w:t>
      </w:r>
    </w:p>
    <w:p w14:paraId="3E333E39">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randomness can disrupt charge carrier mobility due to irregular pathways for electron or hole transport.</w:t>
      </w:r>
    </w:p>
    <w:p w14:paraId="4EE6DDA8">
      <w:pPr>
        <w:ind w:firstLine="400" w:firstLineChars="200"/>
        <w:rPr>
          <w:rFonts w:ascii="Times New Roman" w:hAnsi="Times New Roman" w:cs="Times New Roman"/>
          <w:sz w:val="20"/>
          <w:szCs w:val="20"/>
        </w:rPr>
      </w:pPr>
      <w:r>
        <w:rPr>
          <w:rFonts w:hint="eastAsia" w:ascii="Times New Roman" w:hAnsi="Times New Roman" w:cs="Times New Roman"/>
          <w:sz w:val="20"/>
          <w:szCs w:val="20"/>
        </w:rPr>
        <w:t>Further research into minimizing the trade-offs between randomness and charge transport efficiency is essential.</w:t>
      </w:r>
    </w:p>
    <w:p w14:paraId="6770EB99">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Compositional Design Principles:</w:t>
      </w:r>
    </w:p>
    <w:p w14:paraId="720B4D75">
      <w:pPr>
        <w:ind w:firstLine="400" w:firstLineChars="200"/>
        <w:rPr>
          <w:rFonts w:ascii="Times New Roman" w:hAnsi="Times New Roman" w:cs="Times New Roman"/>
          <w:sz w:val="20"/>
          <w:szCs w:val="20"/>
        </w:rPr>
      </w:pPr>
      <w:r>
        <w:rPr>
          <w:rFonts w:hint="eastAsia" w:ascii="Times New Roman" w:hAnsi="Times New Roman" w:cs="Times New Roman"/>
          <w:sz w:val="20"/>
          <w:szCs w:val="20"/>
        </w:rPr>
        <w:t>Determining the ideal monomer ratios, sequence distribution, and compatibility for optimal photovoltaic performance needs more systematic investigation.</w:t>
      </w:r>
    </w:p>
    <w:p w14:paraId="4FD4F4C8">
      <w:pPr>
        <w:ind w:firstLine="400" w:firstLineChars="200"/>
        <w:rPr>
          <w:rFonts w:ascii="Times New Roman" w:hAnsi="Times New Roman" w:cs="Times New Roman"/>
          <w:sz w:val="20"/>
          <w:szCs w:val="20"/>
        </w:rPr>
      </w:pPr>
      <w:r>
        <w:rPr>
          <w:rFonts w:hint="eastAsia" w:ascii="Times New Roman" w:hAnsi="Times New Roman" w:cs="Times New Roman"/>
          <w:sz w:val="20"/>
          <w:szCs w:val="20"/>
        </w:rPr>
        <w:t>6. Scalability and Cost Efficiency:</w:t>
      </w:r>
    </w:p>
    <w:p w14:paraId="37BF7539">
      <w:pPr>
        <w:ind w:firstLine="400" w:firstLineChars="200"/>
        <w:rPr>
          <w:rFonts w:ascii="Times New Roman" w:hAnsi="Times New Roman" w:cs="Times New Roman"/>
          <w:sz w:val="20"/>
          <w:szCs w:val="20"/>
        </w:rPr>
      </w:pPr>
      <w:r>
        <w:rPr>
          <w:rFonts w:hint="eastAsia" w:ascii="Times New Roman" w:hAnsi="Times New Roman" w:cs="Times New Roman"/>
          <w:sz w:val="20"/>
          <w:szCs w:val="20"/>
        </w:rPr>
        <w:t>Evaluating how random copolymerization fits into large-scale production while maintaining high efficiency and low-cost synthesis remains a critical area.</w:t>
      </w:r>
    </w:p>
    <w:p w14:paraId="06B85174">
      <w:pPr>
        <w:ind w:firstLine="400" w:firstLineChars="200"/>
        <w:rPr>
          <w:rFonts w:ascii="Times New Roman" w:hAnsi="Times New Roman" w:cs="Times New Roman"/>
          <w:sz w:val="20"/>
          <w:szCs w:val="20"/>
        </w:rPr>
      </w:pPr>
      <w:r>
        <w:rPr>
          <w:rFonts w:hint="eastAsia" w:ascii="Times New Roman" w:hAnsi="Times New Roman" w:cs="Times New Roman"/>
          <w:sz w:val="20"/>
          <w:szCs w:val="20"/>
        </w:rPr>
        <w:t>7. Interactions with Acceptors:</w:t>
      </w:r>
    </w:p>
    <w:p w14:paraId="4B2DDC17">
      <w:pPr>
        <w:spacing w:after="156" w:afterLines="50"/>
        <w:ind w:firstLine="400" w:firstLineChars="200"/>
        <w:rPr>
          <w:rFonts w:ascii="Times New Roman" w:hAnsi="Times New Roman" w:cs="Times New Roman"/>
          <w:sz w:val="20"/>
          <w:szCs w:val="20"/>
        </w:rPr>
      </w:pPr>
      <w:r>
        <w:rPr>
          <w:rFonts w:hint="eastAsia" w:ascii="Times New Roman" w:hAnsi="Times New Roman" w:cs="Times New Roman"/>
          <w:sz w:val="20"/>
          <w:szCs w:val="20"/>
        </w:rPr>
        <w:t>Understanding how random copolymers interact with fullerene and non-fullerene acceptors is crucial to designing compatible active layer combinations.</w:t>
      </w:r>
    </w:p>
    <w:p w14:paraId="09D0090D">
      <w:pPr>
        <w:outlineLvl w:val="1"/>
        <w:rPr>
          <w:rFonts w:ascii="Times New Roman" w:hAnsi="Times New Roman" w:cs="Times New Roman"/>
          <w:b/>
          <w:bCs/>
          <w:szCs w:val="21"/>
        </w:rPr>
      </w:pPr>
      <w:r>
        <w:rPr>
          <w:rFonts w:hint="eastAsia" w:ascii="Times New Roman" w:hAnsi="Times New Roman" w:cs="Times New Roman"/>
          <w:b/>
          <w:bCs/>
          <w:szCs w:val="21"/>
        </w:rPr>
        <w:t>Response C:</w:t>
      </w:r>
    </w:p>
    <w:p w14:paraId="15F2C494">
      <w:pPr>
        <w:ind w:firstLine="400" w:firstLineChars="200"/>
        <w:rPr>
          <w:rFonts w:ascii="Times New Roman" w:hAnsi="Times New Roman" w:cs="Times New Roman"/>
          <w:sz w:val="20"/>
          <w:szCs w:val="20"/>
        </w:rPr>
      </w:pPr>
      <w:r>
        <w:rPr>
          <w:rFonts w:hint="eastAsia" w:ascii="Times New Roman" w:hAnsi="Times New Roman" w:cs="Times New Roman"/>
          <w:sz w:val="20"/>
          <w:szCs w:val="20"/>
        </w:rPr>
        <w:t>The random copolymerization strategy in polymer photovoltaic materials involves creating copolymers by randomly incorporating different monomer units into the polymer chain. This strategy can enhance the properties of the resulting polymer, such as its optical and electrical characteristics, by combining the beneficial features of different monomers. However, several aspects still need further investigation:</w:t>
      </w:r>
    </w:p>
    <w:p w14:paraId="15CE9203">
      <w:pPr>
        <w:ind w:firstLine="400" w:firstLineChars="200"/>
        <w:rPr>
          <w:rFonts w:ascii="Times New Roman" w:hAnsi="Times New Roman" w:cs="Times New Roman"/>
          <w:sz w:val="20"/>
          <w:szCs w:val="20"/>
        </w:rPr>
      </w:pPr>
      <w:r>
        <w:rPr>
          <w:rFonts w:hint="eastAsia" w:ascii="Times New Roman" w:hAnsi="Times New Roman" w:cs="Times New Roman"/>
          <w:sz w:val="20"/>
          <w:szCs w:val="20"/>
        </w:rPr>
        <w:t>1. Optimization of Monomer Ratios: Determining the optimal ratios of different monomers to achieve the best performance in terms of efficiency, stability, and processability.</w:t>
      </w:r>
    </w:p>
    <w:p w14:paraId="6E7BF8E6">
      <w:pPr>
        <w:ind w:firstLine="400" w:firstLineChars="200"/>
        <w:rPr>
          <w:rFonts w:ascii="Times New Roman" w:hAnsi="Times New Roman" w:cs="Times New Roman"/>
          <w:sz w:val="20"/>
          <w:szCs w:val="20"/>
        </w:rPr>
      </w:pPr>
      <w:r>
        <w:rPr>
          <w:rFonts w:hint="eastAsia" w:ascii="Times New Roman" w:hAnsi="Times New Roman" w:cs="Times New Roman"/>
          <w:sz w:val="20"/>
          <w:szCs w:val="20"/>
        </w:rPr>
        <w:t>2. Morphology Control: Understanding how the random incorporation of different monomers affects the morphology of the polymer film, which is crucial for charge transport and overall device performance.</w:t>
      </w:r>
    </w:p>
    <w:p w14:paraId="46525527">
      <w:pPr>
        <w:ind w:firstLine="400" w:firstLineChars="200"/>
        <w:rPr>
          <w:rFonts w:ascii="Times New Roman" w:hAnsi="Times New Roman" w:cs="Times New Roman"/>
          <w:sz w:val="20"/>
          <w:szCs w:val="20"/>
        </w:rPr>
      </w:pPr>
      <w:r>
        <w:rPr>
          <w:rFonts w:hint="eastAsia" w:ascii="Times New Roman" w:hAnsi="Times New Roman" w:cs="Times New Roman"/>
          <w:sz w:val="20"/>
          <w:szCs w:val="20"/>
        </w:rPr>
        <w:t>3. Compatibility with Acceptors: Investigating how the random copolymer interacts with various acceptor materials in the active layer of the photovoltaic device.</w:t>
      </w:r>
    </w:p>
    <w:p w14:paraId="5E30455F">
      <w:pPr>
        <w:ind w:firstLine="400" w:firstLineChars="200"/>
        <w:rPr>
          <w:rFonts w:ascii="Times New Roman" w:hAnsi="Times New Roman" w:cs="Times New Roman"/>
          <w:sz w:val="20"/>
          <w:szCs w:val="20"/>
        </w:rPr>
      </w:pPr>
      <w:r>
        <w:rPr>
          <w:rFonts w:hint="eastAsia" w:ascii="Times New Roman" w:hAnsi="Times New Roman" w:cs="Times New Roman"/>
          <w:sz w:val="20"/>
          <w:szCs w:val="20"/>
        </w:rPr>
        <w:t>4. Synthesis Methods: Developing efficient and scalable synthesis methods for producing high-quality random copolymers with consistent properties.</w:t>
      </w:r>
    </w:p>
    <w:p w14:paraId="17B1532F">
      <w:pPr>
        <w:ind w:firstLine="400" w:firstLineChars="200"/>
        <w:rPr>
          <w:rFonts w:ascii="Times New Roman" w:hAnsi="Times New Roman" w:cs="Times New Roman"/>
          <w:sz w:val="20"/>
          <w:szCs w:val="20"/>
        </w:rPr>
      </w:pPr>
      <w:r>
        <w:rPr>
          <w:rFonts w:hint="eastAsia" w:ascii="Times New Roman" w:hAnsi="Times New Roman" w:cs="Times New Roman"/>
          <w:sz w:val="20"/>
          <w:szCs w:val="20"/>
        </w:rPr>
        <w:t>5. Long-term Stability: Assessing the long-term stability of devices made with random copolymers under real-world operating conditions.</w:t>
      </w:r>
    </w:p>
    <w:p w14:paraId="28EC5F56">
      <w:pPr>
        <w:ind w:firstLine="400" w:firstLineChars="200"/>
        <w:rPr>
          <w:rFonts w:ascii="Times New Roman" w:hAnsi="Times New Roman" w:cs="Times New Roman"/>
          <w:sz w:val="20"/>
          <w:szCs w:val="20"/>
        </w:rPr>
      </w:pPr>
      <w:r>
        <w:rPr>
          <w:rFonts w:hint="eastAsia" w:ascii="Times New Roman" w:hAnsi="Times New Roman" w:cs="Times New Roman"/>
          <w:sz w:val="20"/>
          <w:szCs w:val="20"/>
        </w:rPr>
        <w:t>6. Charge Transport Mechanisms: Studying the charge transport mechanisms in random copolymers to understand how the random distribution of monomers affects charge mobility.</w:t>
      </w:r>
    </w:p>
    <w:p w14:paraId="09D60A02">
      <w:pPr>
        <w:ind w:firstLine="400" w:firstLineChars="200"/>
        <w:rPr>
          <w:rFonts w:ascii="Times New Roman" w:hAnsi="Times New Roman" w:cs="Times New Roman"/>
          <w:sz w:val="20"/>
          <w:szCs w:val="20"/>
        </w:rPr>
      </w:pPr>
      <w:r>
        <w:rPr>
          <w:rFonts w:hint="eastAsia" w:ascii="Times New Roman" w:hAnsi="Times New Roman" w:cs="Times New Roman"/>
          <w:sz w:val="20"/>
          <w:szCs w:val="20"/>
        </w:rPr>
        <w:t xml:space="preserve">Further </w:t>
      </w:r>
      <w:r>
        <w:rPr>
          <w:rFonts w:ascii="Times New Roman" w:hAnsi="Times New Roman" w:cs="Times New Roman"/>
          <w:sz w:val="20"/>
          <w:szCs w:val="20"/>
        </w:rPr>
        <w:t>research</w:t>
      </w:r>
      <w:r>
        <w:rPr>
          <w:rFonts w:hint="eastAsia" w:ascii="Times New Roman" w:hAnsi="Times New Roman" w:cs="Times New Roman"/>
          <w:sz w:val="20"/>
          <w:szCs w:val="20"/>
        </w:rPr>
        <w:t xml:space="preserve"> in these areas will help optimize the performance of polymer photovoltaic materials using the random copolymerization strategy.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C62DAB"/>
    <w:multiLevelType w:val="multilevel"/>
    <w:tmpl w:val="4BC62DA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D0801AB"/>
    <w:multiLevelType w:val="multilevel"/>
    <w:tmpl w:val="7D0801AB"/>
    <w:lvl w:ilvl="0" w:tentative="0">
      <w:start w:val="5"/>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7C8"/>
    <w:rsid w:val="00000458"/>
    <w:rsid w:val="00001023"/>
    <w:rsid w:val="0001430F"/>
    <w:rsid w:val="000528AE"/>
    <w:rsid w:val="000572A2"/>
    <w:rsid w:val="0006230D"/>
    <w:rsid w:val="00062678"/>
    <w:rsid w:val="00081B1A"/>
    <w:rsid w:val="00081DD1"/>
    <w:rsid w:val="00085E7E"/>
    <w:rsid w:val="00096283"/>
    <w:rsid w:val="000976B2"/>
    <w:rsid w:val="000A6AFD"/>
    <w:rsid w:val="000C0DD1"/>
    <w:rsid w:val="000C4436"/>
    <w:rsid w:val="000C4822"/>
    <w:rsid w:val="000C5563"/>
    <w:rsid w:val="000D3059"/>
    <w:rsid w:val="000D5279"/>
    <w:rsid w:val="000D6279"/>
    <w:rsid w:val="00101DD1"/>
    <w:rsid w:val="00113F76"/>
    <w:rsid w:val="0012215C"/>
    <w:rsid w:val="00127FBA"/>
    <w:rsid w:val="00135322"/>
    <w:rsid w:val="001358B7"/>
    <w:rsid w:val="0016525B"/>
    <w:rsid w:val="001859B2"/>
    <w:rsid w:val="001A53D6"/>
    <w:rsid w:val="001B552A"/>
    <w:rsid w:val="001B68A6"/>
    <w:rsid w:val="001B720D"/>
    <w:rsid w:val="001C5F7F"/>
    <w:rsid w:val="001D10D6"/>
    <w:rsid w:val="0020159A"/>
    <w:rsid w:val="00212076"/>
    <w:rsid w:val="00232635"/>
    <w:rsid w:val="00233729"/>
    <w:rsid w:val="0023655F"/>
    <w:rsid w:val="002465E5"/>
    <w:rsid w:val="00247E08"/>
    <w:rsid w:val="00250F40"/>
    <w:rsid w:val="002638C0"/>
    <w:rsid w:val="002755F7"/>
    <w:rsid w:val="002817D0"/>
    <w:rsid w:val="0028336D"/>
    <w:rsid w:val="0028571B"/>
    <w:rsid w:val="00287633"/>
    <w:rsid w:val="002926DB"/>
    <w:rsid w:val="002939A3"/>
    <w:rsid w:val="002A35A5"/>
    <w:rsid w:val="002B1692"/>
    <w:rsid w:val="002B30BE"/>
    <w:rsid w:val="002C21AF"/>
    <w:rsid w:val="002C6CEC"/>
    <w:rsid w:val="002D053B"/>
    <w:rsid w:val="002D4F8B"/>
    <w:rsid w:val="002D504E"/>
    <w:rsid w:val="002E2D9E"/>
    <w:rsid w:val="002E3B55"/>
    <w:rsid w:val="002E5A7C"/>
    <w:rsid w:val="002F4250"/>
    <w:rsid w:val="00304B9F"/>
    <w:rsid w:val="003119F9"/>
    <w:rsid w:val="00332466"/>
    <w:rsid w:val="00341941"/>
    <w:rsid w:val="00343CF4"/>
    <w:rsid w:val="0034617E"/>
    <w:rsid w:val="00351EC4"/>
    <w:rsid w:val="00355DC8"/>
    <w:rsid w:val="00373E85"/>
    <w:rsid w:val="00385DA1"/>
    <w:rsid w:val="00386554"/>
    <w:rsid w:val="00390847"/>
    <w:rsid w:val="003B74A0"/>
    <w:rsid w:val="003C169A"/>
    <w:rsid w:val="003C2DA5"/>
    <w:rsid w:val="003C3A9A"/>
    <w:rsid w:val="003C40C2"/>
    <w:rsid w:val="003C76CE"/>
    <w:rsid w:val="003D20D4"/>
    <w:rsid w:val="003D2AB1"/>
    <w:rsid w:val="003E074B"/>
    <w:rsid w:val="003E28E5"/>
    <w:rsid w:val="003E2D8D"/>
    <w:rsid w:val="003F3467"/>
    <w:rsid w:val="003F530A"/>
    <w:rsid w:val="0040103B"/>
    <w:rsid w:val="00405ACD"/>
    <w:rsid w:val="0041066B"/>
    <w:rsid w:val="00414D93"/>
    <w:rsid w:val="004173F6"/>
    <w:rsid w:val="004205DE"/>
    <w:rsid w:val="00443B81"/>
    <w:rsid w:val="00462D73"/>
    <w:rsid w:val="004702E1"/>
    <w:rsid w:val="00474252"/>
    <w:rsid w:val="00475492"/>
    <w:rsid w:val="00476111"/>
    <w:rsid w:val="00476D0C"/>
    <w:rsid w:val="0048323D"/>
    <w:rsid w:val="0049078C"/>
    <w:rsid w:val="00493785"/>
    <w:rsid w:val="004A1A26"/>
    <w:rsid w:val="004B3D7D"/>
    <w:rsid w:val="004C68D7"/>
    <w:rsid w:val="004D166E"/>
    <w:rsid w:val="004D5E01"/>
    <w:rsid w:val="004E37B7"/>
    <w:rsid w:val="005256EB"/>
    <w:rsid w:val="00553B25"/>
    <w:rsid w:val="0055506B"/>
    <w:rsid w:val="00557E3A"/>
    <w:rsid w:val="005651E5"/>
    <w:rsid w:val="005672F5"/>
    <w:rsid w:val="005706C8"/>
    <w:rsid w:val="00571CEE"/>
    <w:rsid w:val="00574BA6"/>
    <w:rsid w:val="00575021"/>
    <w:rsid w:val="005758F9"/>
    <w:rsid w:val="005772B3"/>
    <w:rsid w:val="00583C55"/>
    <w:rsid w:val="00584260"/>
    <w:rsid w:val="005855D9"/>
    <w:rsid w:val="005859BC"/>
    <w:rsid w:val="00586075"/>
    <w:rsid w:val="005A1D37"/>
    <w:rsid w:val="005D0C87"/>
    <w:rsid w:val="005D2F43"/>
    <w:rsid w:val="005E6A35"/>
    <w:rsid w:val="005F52F4"/>
    <w:rsid w:val="00605918"/>
    <w:rsid w:val="00622B6D"/>
    <w:rsid w:val="00643489"/>
    <w:rsid w:val="006600AD"/>
    <w:rsid w:val="0066090D"/>
    <w:rsid w:val="00667207"/>
    <w:rsid w:val="00672EB0"/>
    <w:rsid w:val="00676A47"/>
    <w:rsid w:val="00681995"/>
    <w:rsid w:val="006840C2"/>
    <w:rsid w:val="00690869"/>
    <w:rsid w:val="006A1D03"/>
    <w:rsid w:val="006A219F"/>
    <w:rsid w:val="006A28BE"/>
    <w:rsid w:val="006B33B6"/>
    <w:rsid w:val="006C032C"/>
    <w:rsid w:val="006E07EF"/>
    <w:rsid w:val="006E601F"/>
    <w:rsid w:val="006F6C4C"/>
    <w:rsid w:val="006F75B2"/>
    <w:rsid w:val="007244B8"/>
    <w:rsid w:val="00734889"/>
    <w:rsid w:val="00735FDC"/>
    <w:rsid w:val="00736938"/>
    <w:rsid w:val="007620DA"/>
    <w:rsid w:val="0076537A"/>
    <w:rsid w:val="00771DA8"/>
    <w:rsid w:val="00781B2F"/>
    <w:rsid w:val="0079174B"/>
    <w:rsid w:val="00792E0D"/>
    <w:rsid w:val="007B4D96"/>
    <w:rsid w:val="007C1419"/>
    <w:rsid w:val="007D01CD"/>
    <w:rsid w:val="007D2ED4"/>
    <w:rsid w:val="007D4510"/>
    <w:rsid w:val="007E323E"/>
    <w:rsid w:val="007E5B1B"/>
    <w:rsid w:val="007E68F1"/>
    <w:rsid w:val="008025E9"/>
    <w:rsid w:val="008025EF"/>
    <w:rsid w:val="00812C1F"/>
    <w:rsid w:val="008157E4"/>
    <w:rsid w:val="008263B1"/>
    <w:rsid w:val="00836220"/>
    <w:rsid w:val="00842894"/>
    <w:rsid w:val="00842BB0"/>
    <w:rsid w:val="00870E5A"/>
    <w:rsid w:val="0087762F"/>
    <w:rsid w:val="0088297B"/>
    <w:rsid w:val="0089505D"/>
    <w:rsid w:val="008A1583"/>
    <w:rsid w:val="008B3D77"/>
    <w:rsid w:val="008B5A23"/>
    <w:rsid w:val="008C77D5"/>
    <w:rsid w:val="00900F89"/>
    <w:rsid w:val="009072DD"/>
    <w:rsid w:val="009162F3"/>
    <w:rsid w:val="00920A53"/>
    <w:rsid w:val="0092730F"/>
    <w:rsid w:val="00932508"/>
    <w:rsid w:val="00936948"/>
    <w:rsid w:val="00952069"/>
    <w:rsid w:val="00961BE8"/>
    <w:rsid w:val="0098796B"/>
    <w:rsid w:val="00991295"/>
    <w:rsid w:val="0099678A"/>
    <w:rsid w:val="009A4474"/>
    <w:rsid w:val="009B374E"/>
    <w:rsid w:val="009D1FA2"/>
    <w:rsid w:val="009D284E"/>
    <w:rsid w:val="009E5335"/>
    <w:rsid w:val="009E5F70"/>
    <w:rsid w:val="009E782C"/>
    <w:rsid w:val="009F3D34"/>
    <w:rsid w:val="009F495A"/>
    <w:rsid w:val="00A0021A"/>
    <w:rsid w:val="00A06861"/>
    <w:rsid w:val="00A14368"/>
    <w:rsid w:val="00A14908"/>
    <w:rsid w:val="00A42BD2"/>
    <w:rsid w:val="00A51304"/>
    <w:rsid w:val="00A57734"/>
    <w:rsid w:val="00A57988"/>
    <w:rsid w:val="00A644AF"/>
    <w:rsid w:val="00A72187"/>
    <w:rsid w:val="00A82600"/>
    <w:rsid w:val="00A83EE6"/>
    <w:rsid w:val="00A942EB"/>
    <w:rsid w:val="00AA181C"/>
    <w:rsid w:val="00AB1B80"/>
    <w:rsid w:val="00AB1CA9"/>
    <w:rsid w:val="00AB4447"/>
    <w:rsid w:val="00AC2E77"/>
    <w:rsid w:val="00AC6F13"/>
    <w:rsid w:val="00AE6D52"/>
    <w:rsid w:val="00AF43EB"/>
    <w:rsid w:val="00B15C20"/>
    <w:rsid w:val="00B22A9E"/>
    <w:rsid w:val="00B246E1"/>
    <w:rsid w:val="00B25AA4"/>
    <w:rsid w:val="00B363D6"/>
    <w:rsid w:val="00B41CE9"/>
    <w:rsid w:val="00B45680"/>
    <w:rsid w:val="00B53856"/>
    <w:rsid w:val="00B55FBC"/>
    <w:rsid w:val="00B63331"/>
    <w:rsid w:val="00B77579"/>
    <w:rsid w:val="00B92F0B"/>
    <w:rsid w:val="00BA6F5B"/>
    <w:rsid w:val="00BC69B4"/>
    <w:rsid w:val="00BD753A"/>
    <w:rsid w:val="00BE42B9"/>
    <w:rsid w:val="00C0325F"/>
    <w:rsid w:val="00C03C68"/>
    <w:rsid w:val="00C04E13"/>
    <w:rsid w:val="00C26C8A"/>
    <w:rsid w:val="00C30462"/>
    <w:rsid w:val="00C30987"/>
    <w:rsid w:val="00C43278"/>
    <w:rsid w:val="00C45A44"/>
    <w:rsid w:val="00C5524D"/>
    <w:rsid w:val="00C62C65"/>
    <w:rsid w:val="00C83336"/>
    <w:rsid w:val="00C846DA"/>
    <w:rsid w:val="00C85141"/>
    <w:rsid w:val="00C90EC0"/>
    <w:rsid w:val="00C97417"/>
    <w:rsid w:val="00CA23B2"/>
    <w:rsid w:val="00CA637A"/>
    <w:rsid w:val="00CA7CF9"/>
    <w:rsid w:val="00CC04A6"/>
    <w:rsid w:val="00CD5B60"/>
    <w:rsid w:val="00CE0952"/>
    <w:rsid w:val="00CE77C8"/>
    <w:rsid w:val="00D05B28"/>
    <w:rsid w:val="00D277D6"/>
    <w:rsid w:val="00D331BC"/>
    <w:rsid w:val="00D37BD2"/>
    <w:rsid w:val="00D45850"/>
    <w:rsid w:val="00D46811"/>
    <w:rsid w:val="00D62867"/>
    <w:rsid w:val="00D7420E"/>
    <w:rsid w:val="00D82EB4"/>
    <w:rsid w:val="00D86582"/>
    <w:rsid w:val="00D87216"/>
    <w:rsid w:val="00D87943"/>
    <w:rsid w:val="00D87C31"/>
    <w:rsid w:val="00D90143"/>
    <w:rsid w:val="00D94B50"/>
    <w:rsid w:val="00DA6084"/>
    <w:rsid w:val="00DB14C7"/>
    <w:rsid w:val="00DC2A31"/>
    <w:rsid w:val="00DC482A"/>
    <w:rsid w:val="00DE514D"/>
    <w:rsid w:val="00E03A96"/>
    <w:rsid w:val="00E15B35"/>
    <w:rsid w:val="00E355EC"/>
    <w:rsid w:val="00E405F6"/>
    <w:rsid w:val="00E464AB"/>
    <w:rsid w:val="00E475AB"/>
    <w:rsid w:val="00E55CE8"/>
    <w:rsid w:val="00E6690C"/>
    <w:rsid w:val="00E77349"/>
    <w:rsid w:val="00E812AE"/>
    <w:rsid w:val="00E82A3E"/>
    <w:rsid w:val="00E850F8"/>
    <w:rsid w:val="00E9021C"/>
    <w:rsid w:val="00E95493"/>
    <w:rsid w:val="00E9568D"/>
    <w:rsid w:val="00EA114B"/>
    <w:rsid w:val="00EA1D9E"/>
    <w:rsid w:val="00EA49EF"/>
    <w:rsid w:val="00EB2D4F"/>
    <w:rsid w:val="00EC2CAC"/>
    <w:rsid w:val="00EC3F7F"/>
    <w:rsid w:val="00EE087A"/>
    <w:rsid w:val="00EE1C27"/>
    <w:rsid w:val="00EF64E5"/>
    <w:rsid w:val="00F24C69"/>
    <w:rsid w:val="00F30057"/>
    <w:rsid w:val="00F449BF"/>
    <w:rsid w:val="00F51ACA"/>
    <w:rsid w:val="00F65800"/>
    <w:rsid w:val="00F71111"/>
    <w:rsid w:val="00F73A5F"/>
    <w:rsid w:val="00F77688"/>
    <w:rsid w:val="00F81753"/>
    <w:rsid w:val="00F85A85"/>
    <w:rsid w:val="00FA428F"/>
    <w:rsid w:val="00FD0E28"/>
    <w:rsid w:val="00FE16B3"/>
    <w:rsid w:val="086D4B25"/>
    <w:rsid w:val="26C50464"/>
    <w:rsid w:val="37CE0D83"/>
    <w:rsid w:val="4ABC5D9B"/>
    <w:rsid w:val="67E14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toc 1"/>
    <w:basedOn w:val="1"/>
    <w:next w:val="1"/>
    <w:qFormat/>
    <w:uiPriority w:val="39"/>
    <w:pPr>
      <w:tabs>
        <w:tab w:val="right" w:leader="dot" w:pos="8296"/>
      </w:tabs>
      <w:ind w:firstLine="422"/>
    </w:pPr>
    <w:rPr>
      <w:szCs w:val="24"/>
    </w:rPr>
  </w:style>
  <w:style w:type="paragraph" w:styleId="12">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customStyle="1" w:styleId="16">
    <w:name w:val="论文正文"/>
    <w:basedOn w:val="1"/>
    <w:link w:val="17"/>
    <w:qFormat/>
    <w:uiPriority w:val="0"/>
    <w:pPr>
      <w:spacing w:line="400" w:lineRule="exact"/>
      <w:ind w:firstLine="480" w:firstLineChars="200"/>
    </w:pPr>
    <w:rPr>
      <w:sz w:val="24"/>
      <w:szCs w:val="24"/>
    </w:rPr>
  </w:style>
  <w:style w:type="character" w:customStyle="1" w:styleId="17">
    <w:name w:val="论文正文 字符"/>
    <w:basedOn w:val="15"/>
    <w:link w:val="16"/>
    <w:autoRedefine/>
    <w:qFormat/>
    <w:uiPriority w:val="0"/>
    <w:rPr>
      <w:sz w:val="24"/>
      <w:szCs w:val="24"/>
    </w:rPr>
  </w:style>
  <w:style w:type="character" w:customStyle="1" w:styleId="18">
    <w:name w:val="标题 1 字符"/>
    <w:basedOn w:val="15"/>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5"/>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5"/>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5"/>
    <w:link w:val="5"/>
    <w:semiHidden/>
    <w:qFormat/>
    <w:uiPriority w:val="9"/>
    <w:rPr>
      <w:rFonts w:cstheme="majorBidi"/>
      <w:color w:val="2F5597" w:themeColor="accent1" w:themeShade="BF"/>
      <w:sz w:val="28"/>
      <w:szCs w:val="28"/>
    </w:rPr>
  </w:style>
  <w:style w:type="character" w:customStyle="1" w:styleId="22">
    <w:name w:val="标题 5 字符"/>
    <w:basedOn w:val="15"/>
    <w:link w:val="6"/>
    <w:semiHidden/>
    <w:qFormat/>
    <w:uiPriority w:val="9"/>
    <w:rPr>
      <w:rFonts w:cstheme="majorBidi"/>
      <w:color w:val="2F5597" w:themeColor="accent1" w:themeShade="BF"/>
      <w:sz w:val="24"/>
      <w:szCs w:val="24"/>
    </w:rPr>
  </w:style>
  <w:style w:type="character" w:customStyle="1" w:styleId="23">
    <w:name w:val="标题 6 字符"/>
    <w:basedOn w:val="15"/>
    <w:link w:val="7"/>
    <w:semiHidden/>
    <w:qFormat/>
    <w:uiPriority w:val="9"/>
    <w:rPr>
      <w:rFonts w:cstheme="majorBidi"/>
      <w:b/>
      <w:bCs/>
      <w:color w:val="2F5597" w:themeColor="accent1" w:themeShade="BF"/>
    </w:rPr>
  </w:style>
  <w:style w:type="character" w:customStyle="1" w:styleId="24">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5"/>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5"/>
    <w:link w:val="33"/>
    <w:qFormat/>
    <w:uiPriority w:val="30"/>
    <w:rPr>
      <w:i/>
      <w:iCs/>
      <w:color w:val="2F5597" w:themeColor="accent1" w:themeShade="BF"/>
    </w:rPr>
  </w:style>
  <w:style w:type="character" w:customStyle="1" w:styleId="35">
    <w:name w:val="明显参考1"/>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A5638-E806-47B8-AFEC-5B6DACE2F2FE}">
  <ds:schemaRefs/>
</ds:datastoreItem>
</file>

<file path=docProps/app.xml><?xml version="1.0" encoding="utf-8"?>
<Properties xmlns="http://schemas.openxmlformats.org/officeDocument/2006/extended-properties" xmlns:vt="http://schemas.openxmlformats.org/officeDocument/2006/docPropsVTypes">
  <Template>Normal</Template>
  <Pages>34</Pages>
  <Words>12176</Words>
  <Characters>80636</Characters>
  <Lines>1516</Lines>
  <Paragraphs>946</Paragraphs>
  <TotalTime>354</TotalTime>
  <ScaleCrop>false</ScaleCrop>
  <LinksUpToDate>false</LinksUpToDate>
  <CharactersWithSpaces>91997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2026-03-19T01:31:00Z</dcterms:created>
  <dc:creator>JY Sun</dc:creator>
  <cp:lastModifiedBy>孙金宇</cp:lastModifiedBy>
  <dcterms:modified xsi:type="dcterms:W3CDTF">2026-03-24T12:20:51Z</dcterms:modified>
  <cp:revision>263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eyJoZGlkIjoiYWFkZTY3YmFiNDZiYTNlYjM3MmU0ZTVhMmRkYTBiZmMiLCJ1c2VySWQiOiIxNTU5MDAzNTIxIn0=</vt:lpwstr>
  </property>
  <property fmtid="{D5CDD505-2E9C-101B-9397-08002B2CF9AE}" pid="3" name="KSOProductBuildVer">
    <vt:lpwstr>2052-12.1.0.24657</vt:lpwstr>
  </property>
  <property fmtid="{D5CDD505-2E9C-101B-9397-08002B2CF9AE}" pid="4" name="ICV">
    <vt:lpwstr>BD7AEA68130D4EEFB246C79729D2ED8A_13</vt:lpwstr>
  </property>
</Properties>
</file>