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E9B68">
      <w:pPr>
        <w:pStyle w:val="2"/>
        <w:bidi w:val="0"/>
        <w:spacing w:before="240" w:after="283"/>
        <w:jc w:val="center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当前4DoF定位方案</w:t>
      </w:r>
      <w:r>
        <w:rPr>
          <w:rFonts w:hint="default" w:ascii="Ubuntu" w:hAnsi="Ubuntu" w:cs="Ubuntu" w:eastAsiaTheme="minorEastAsia"/>
        </w:rPr>
        <w:br w:type="textWrapping"/>
      </w:r>
      <w:r>
        <w:rPr>
          <w:rFonts w:hint="default" w:ascii="Ubuntu" w:hAnsi="Ubuntu" w:cs="Ubuntu" w:eastAsiaTheme="minorEastAsia"/>
        </w:rPr>
        <w:t>实施、原理、验证与移植说明</w:t>
      </w:r>
    </w:p>
    <w:p w14:paraId="3B5E4F6D">
      <w:pPr>
        <w:pStyle w:val="4"/>
        <w:bidi w:val="0"/>
        <w:spacing w:before="90" w:after="0"/>
        <w:jc w:val="center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适用于割草机 FAST-LIO + UM981组合导航 + fusion_4dof 定位系统</w:t>
      </w:r>
    </w:p>
    <w:p w14:paraId="1EEFBC59">
      <w:pPr>
        <w:pStyle w:val="4"/>
        <w:bidi w:val="0"/>
        <w:jc w:val="center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文档版本：V1.0</w:t>
      </w:r>
      <w:r>
        <w:rPr>
          <w:rFonts w:hint="default" w:ascii="Ubuntu" w:hAnsi="Ubuntu" w:cs="Ubuntu" w:eastAsiaTheme="minorEastAsia"/>
        </w:rPr>
        <w:br w:type="textWrapping"/>
      </w:r>
      <w:r>
        <w:rPr>
          <w:rFonts w:hint="default" w:ascii="Ubuntu" w:hAnsi="Ubuntu" w:cs="Ubuntu" w:eastAsiaTheme="minorEastAsia"/>
        </w:rPr>
        <w:t>对应代码快照：2026-08-10 当前工作区</w:t>
      </w:r>
      <w:r>
        <w:rPr>
          <w:rFonts w:hint="default" w:ascii="Ubuntu" w:hAnsi="Ubuntu" w:cs="Ubuntu" w:eastAsiaTheme="minorEastAsia"/>
        </w:rPr>
        <w:br w:type="textWrapping"/>
      </w:r>
      <w:r>
        <w:rPr>
          <w:rFonts w:hint="default" w:ascii="Ubuntu" w:hAnsi="Ubuntu" w:cs="Ubuntu" w:eastAsiaTheme="minorEastAsia"/>
        </w:rPr>
        <w:t>工作空间：libo/lidar-slam-v2 与 libo/1ant</w:t>
      </w:r>
      <w:r>
        <w:rPr>
          <w:rFonts w:hint="default" w:ascii="Ubuntu" w:hAnsi="Ubuntu" w:cs="Ubuntu" w:eastAsiaTheme="minorEastAsia"/>
        </w:rPr>
        <w:br w:type="textWrapping"/>
      </w:r>
      <w:r>
        <w:rPr>
          <w:rFonts w:hint="default" w:ascii="Ubuntu" w:hAnsi="Ubuntu" w:cs="Ubuntu" w:eastAsiaTheme="minorEastAsia"/>
        </w:rPr>
        <w:t xml:space="preserve">文档性质：设计说明、测试指导、评估准则与移植手册 </w:t>
      </w:r>
    </w:p>
    <w:p w14:paraId="12532424">
      <w:pPr>
        <w:pStyle w:val="2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文档说明与执行摘要</w:t>
      </w:r>
    </w:p>
    <w:p w14:paraId="12F74D71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1. 文档目的</w:t>
      </w:r>
    </w:p>
    <w:p w14:paraId="134A9C0C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本文档系统说明当前重力约束4DoF定位方案的实施原因、数学原理、软件实现、工作状态、数据采集与实测验证方法、评价指标、故障判断方法和移植步骤。文档采用“先总后分”的组织方式：首先给出可以快速建立全局认识的概要；随后对坐标系、FAST-LIO静态初始化、重力水平化、外参补偿、水平和竖直对齐、姿态输出、状态切换、地图复用、重启机制等重点内容逐项展开。</w:t>
      </w:r>
    </w:p>
    <w:p w14:paraId="71814FC5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2. 一页概括</w:t>
      </w:r>
    </w:p>
    <w:p w14:paraId="2EFC4CE2">
      <w:pPr>
        <w:pStyle w:val="4"/>
        <w:bidi w:val="0"/>
        <w:spacing w:before="180" w:after="180"/>
        <w:ind w:left="180" w:right="180" w:firstLine="0"/>
        <w:rPr>
          <w:rFonts w:hint="default" w:ascii="Ubuntu" w:hAnsi="Ubuntu" w:cs="Ubuntu" w:eastAsiaTheme="minorEastAsia"/>
          <w:bdr w:val="single" w:color="4F81BD" w:sz="30" w:space="0"/>
          <w:shd w:val="clear" w:fill="EEF5FB"/>
        </w:rPr>
      </w:pPr>
      <w:r>
        <w:rPr>
          <w:rFonts w:hint="default" w:ascii="Ubuntu" w:hAnsi="Ubuntu" w:cs="Ubuntu" w:eastAsiaTheme="minorEastAsia"/>
          <w:b/>
          <w:bdr w:val="single" w:color="4F81BD" w:sz="30" w:space="0"/>
          <w:shd w:val="clear" w:fill="EEF5FB"/>
        </w:rPr>
        <w:t>方案本质：</w:t>
      </w:r>
      <w:r>
        <w:rPr>
          <w:rFonts w:hint="default" w:ascii="Ubuntu" w:hAnsi="Ubuntu" w:cs="Ubuntu" w:eastAsiaTheme="minorEastAsia"/>
          <w:bdr w:val="single" w:color="4F81BD" w:sz="30" w:space="0"/>
          <w:shd w:val="clear" w:fill="EEF5FB"/>
        </w:rPr>
        <w:t>FAST-LIO每次启动都会建立一个新的局部世界坐标系。系统首先利用FAST-LIO初始化后的重力状态，把该局部世界扶正为重力水平局部系H；再把IMU/LIO位姿通过固定6DoF外参转换为base_link位姿；最后在线估计H到地图ENU之间的4DoF刚体关系，即yaw、x/y/z平移。</w:t>
      </w:r>
    </w:p>
    <w:p w14:paraId="2E0C8A28">
      <w:pPr>
        <w:pStyle w:val="4"/>
        <w:bidi w:val="0"/>
        <w:spacing w:before="180" w:after="180"/>
        <w:ind w:left="180" w:right="180" w:firstLine="0"/>
        <w:rPr>
          <w:rFonts w:hint="default" w:ascii="Ubuntu" w:hAnsi="Ubuntu" w:cs="Ubuntu" w:eastAsiaTheme="minorEastAsia"/>
          <w:b/>
          <w:bdr w:val="single" w:color="4F81BD" w:sz="30" w:space="0"/>
          <w:shd w:val="clear" w:fill="EEF5FB"/>
        </w:rPr>
      </w:pPr>
      <w:r>
        <w:rPr>
          <w:rFonts w:hint="default" w:ascii="Ubuntu" w:hAnsi="Ubuntu" w:cs="Ubuntu" w:eastAsiaTheme="minorEastAsia"/>
          <w:b/>
          <w:bdr w:val="single" w:color="4F81BD" w:sz="30" w:space="0"/>
          <w:shd w:val="clear" w:fill="EEF5FB"/>
        </w:rPr>
        <w:t>核心公式：</w:t>
      </w:r>
    </w:p>
    <w:p w14:paraId="386206E8">
      <w:pPr>
        <w:pStyle w:val="4"/>
        <w:bidi w:val="0"/>
        <w:spacing w:before="180" w:after="180"/>
        <w:ind w:left="180" w:right="180" w:firstLine="0"/>
        <w:jc w:val="center"/>
        <w:rPr>
          <w:rFonts w:hint="default" w:ascii="Ubuntu" w:hAnsi="Ubuntu" w:cs="Ubuntu" w:eastAsiaTheme="minorEastAsia"/>
          <w:sz w:val="23"/>
          <w:shd w:val="clear" w:fill="EEF5FB"/>
        </w:rPr>
      </w:pPr>
      <w:r>
        <w:rPr>
          <w:rFonts w:hint="default" w:ascii="Ubuntu" w:hAnsi="Ubuntu" w:cs="Ubuntu" w:eastAsiaTheme="minorEastAsia"/>
          <w:sz w:val="23"/>
          <w:shd w:val="clear" w:fill="EEF5FB"/>
        </w:rPr>
        <w:t>p</w:t>
      </w:r>
      <w:r>
        <w:rPr>
          <w:rFonts w:hint="default" w:ascii="Ubuntu" w:hAnsi="Ubuntu" w:cs="Ubuntu" w:eastAsiaTheme="minorEastAsia"/>
          <w:position w:val="-2"/>
          <w:sz w:val="23"/>
          <w:shd w:val="clear" w:fill="EEF5FB"/>
        </w:rPr>
        <w:t>E</w:t>
      </w:r>
      <w:r>
        <w:rPr>
          <w:rFonts w:hint="default" w:ascii="Ubuntu" w:hAnsi="Ubuntu" w:cs="Ubuntu" w:eastAsiaTheme="minorEastAsia"/>
          <w:position w:val="8"/>
          <w:sz w:val="23"/>
          <w:shd w:val="clear" w:fill="EEF5FB"/>
        </w:rPr>
        <w:t>B</w:t>
      </w:r>
      <w:r>
        <w:rPr>
          <w:rFonts w:hint="default" w:ascii="Ubuntu" w:hAnsi="Ubuntu" w:cs="Ubuntu" w:eastAsiaTheme="minorEastAsia"/>
          <w:sz w:val="23"/>
          <w:shd w:val="clear" w:fill="EEF5FB"/>
        </w:rPr>
        <w:t xml:space="preserve"> = R</w:t>
      </w:r>
      <w:r>
        <w:rPr>
          <w:rFonts w:hint="default" w:ascii="Ubuntu" w:hAnsi="Ubuntu" w:cs="Ubuntu" w:eastAsiaTheme="minorEastAsia"/>
          <w:position w:val="-2"/>
          <w:sz w:val="23"/>
          <w:shd w:val="clear" w:fill="EEF5FB"/>
        </w:rPr>
        <w:t>z</w:t>
      </w:r>
      <w:r>
        <w:rPr>
          <w:rFonts w:hint="default" w:ascii="Ubuntu" w:hAnsi="Ubuntu" w:cs="Ubuntu" w:eastAsiaTheme="minorEastAsia"/>
          <w:sz w:val="23"/>
          <w:shd w:val="clear" w:fill="EEF5FB"/>
        </w:rPr>
        <w:t>(θ) · p</w:t>
      </w:r>
      <w:r>
        <w:rPr>
          <w:rFonts w:hint="default" w:ascii="Ubuntu" w:hAnsi="Ubuntu" w:cs="Ubuntu" w:eastAsiaTheme="minorEastAsia"/>
          <w:position w:val="-2"/>
          <w:sz w:val="23"/>
          <w:shd w:val="clear" w:fill="EEF5FB"/>
        </w:rPr>
        <w:t>H</w:t>
      </w:r>
      <w:r>
        <w:rPr>
          <w:rFonts w:hint="default" w:ascii="Ubuntu" w:hAnsi="Ubuntu" w:cs="Ubuntu" w:eastAsiaTheme="minorEastAsia"/>
          <w:position w:val="8"/>
          <w:sz w:val="23"/>
          <w:shd w:val="clear" w:fill="EEF5FB"/>
        </w:rPr>
        <w:t>B</w:t>
      </w:r>
      <w:r>
        <w:rPr>
          <w:rFonts w:hint="default" w:ascii="Ubuntu" w:hAnsi="Ubuntu" w:cs="Ubuntu" w:eastAsiaTheme="minorEastAsia"/>
          <w:sz w:val="23"/>
          <w:shd w:val="clear" w:fill="EEF5FB"/>
        </w:rPr>
        <w:t xml:space="preserve"> + [t</w:t>
      </w:r>
      <w:r>
        <w:rPr>
          <w:rFonts w:hint="default" w:ascii="Ubuntu" w:hAnsi="Ubuntu" w:cs="Ubuntu" w:eastAsiaTheme="minorEastAsia"/>
          <w:position w:val="-2"/>
          <w:sz w:val="23"/>
          <w:shd w:val="clear" w:fill="EEF5FB"/>
        </w:rPr>
        <w:t>x</w:t>
      </w:r>
      <w:r>
        <w:rPr>
          <w:rFonts w:hint="default" w:ascii="Ubuntu" w:hAnsi="Ubuntu" w:cs="Ubuntu" w:eastAsiaTheme="minorEastAsia"/>
          <w:sz w:val="23"/>
          <w:shd w:val="clear" w:fill="EEF5FB"/>
        </w:rPr>
        <w:t>, t</w:t>
      </w:r>
      <w:r>
        <w:rPr>
          <w:rFonts w:hint="default" w:ascii="Ubuntu" w:hAnsi="Ubuntu" w:cs="Ubuntu" w:eastAsiaTheme="minorEastAsia"/>
          <w:position w:val="-2"/>
          <w:sz w:val="23"/>
          <w:shd w:val="clear" w:fill="EEF5FB"/>
        </w:rPr>
        <w:t>y</w:t>
      </w:r>
      <w:r>
        <w:rPr>
          <w:rFonts w:hint="default" w:ascii="Ubuntu" w:hAnsi="Ubuntu" w:cs="Ubuntu" w:eastAsiaTheme="minorEastAsia"/>
          <w:sz w:val="23"/>
          <w:shd w:val="clear" w:fill="EEF5FB"/>
        </w:rPr>
        <w:t>, t</w:t>
      </w:r>
      <w:r>
        <w:rPr>
          <w:rFonts w:hint="default" w:ascii="Ubuntu" w:hAnsi="Ubuntu" w:cs="Ubuntu" w:eastAsiaTheme="minorEastAsia"/>
          <w:position w:val="-2"/>
          <w:sz w:val="23"/>
          <w:shd w:val="clear" w:fill="EEF5FB"/>
        </w:rPr>
        <w:t>z</w:t>
      </w:r>
      <w:r>
        <w:rPr>
          <w:rFonts w:hint="default" w:ascii="Ubuntu" w:hAnsi="Ubuntu" w:cs="Ubuntu" w:eastAsiaTheme="minorEastAsia"/>
          <w:sz w:val="23"/>
          <w:shd w:val="clear" w:fill="EEF5FB"/>
        </w:rPr>
        <w:t>]</w:t>
      </w:r>
      <w:r>
        <w:rPr>
          <w:rFonts w:hint="default" w:ascii="Ubuntu" w:hAnsi="Ubuntu" w:cs="Ubuntu" w:eastAsiaTheme="minorEastAsia"/>
          <w:position w:val="8"/>
          <w:sz w:val="23"/>
          <w:shd w:val="clear" w:fill="EEF5FB"/>
        </w:rPr>
        <w:t>T</w:t>
      </w:r>
    </w:p>
    <w:p w14:paraId="7A615E0F">
      <w:pPr>
        <w:pStyle w:val="4"/>
        <w:bidi w:val="0"/>
        <w:spacing w:before="180" w:after="180"/>
        <w:ind w:left="180" w:right="180" w:firstLine="0"/>
        <w:rPr>
          <w:rFonts w:hint="default" w:ascii="Ubuntu" w:hAnsi="Ubuntu" w:cs="Ubuntu" w:eastAsiaTheme="minorEastAsia"/>
          <w:bdr w:val="single" w:color="4F81BD" w:sz="30" w:space="0"/>
          <w:shd w:val="clear" w:fill="EEF5FB"/>
        </w:rPr>
      </w:pPr>
      <w:r>
        <w:rPr>
          <w:rFonts w:hint="default" w:ascii="Ubuntu" w:hAnsi="Ubuntu" w:cs="Ubuntu" w:eastAsiaTheme="minorEastAsia"/>
          <w:b/>
          <w:bdr w:val="single" w:color="4F81BD" w:sz="30" w:space="0"/>
          <w:shd w:val="clear" w:fill="EEF5FB"/>
        </w:rPr>
        <w:t>为什么不是全局SE(3)：</w:t>
      </w:r>
      <w:r>
        <w:rPr>
          <w:rFonts w:hint="default" w:ascii="Ubuntu" w:hAnsi="Ubuntu" w:cs="Ubuntu" w:eastAsiaTheme="minorEastAsia"/>
          <w:bdr w:val="single" w:color="4F81BD" w:sz="30" w:space="0"/>
          <w:shd w:val="clear" w:fill="EEF5FB"/>
        </w:rPr>
        <w:t>割草机主要进行地面运动，roll/pitch已经由重力强约束；GNSS主要提供全局位置和航向，高程与姿态噪声更大；长直线又会导致完整三维旋转的观测退化。只估计yaw与三维平移，更符合可观测性，也更不容易把GNSS噪声耦合到roll/pitch。</w:t>
      </w:r>
    </w:p>
    <w:p w14:paraId="202946F7">
      <w:pPr>
        <w:pStyle w:val="4"/>
        <w:bidi w:val="0"/>
        <w:spacing w:before="180" w:after="180"/>
        <w:ind w:left="180" w:right="180" w:firstLine="0"/>
        <w:rPr>
          <w:rFonts w:hint="default" w:ascii="Ubuntu" w:hAnsi="Ubuntu" w:cs="Ubuntu" w:eastAsiaTheme="minorEastAsia"/>
          <w:bdr w:val="single" w:color="4F81BD" w:sz="30" w:space="0"/>
          <w:shd w:val="clear" w:fill="EEF5FB"/>
        </w:rPr>
      </w:pPr>
      <w:r>
        <w:rPr>
          <w:rFonts w:hint="default" w:ascii="Ubuntu" w:hAnsi="Ubuntu" w:cs="Ubuntu" w:eastAsiaTheme="minorEastAsia"/>
          <w:b/>
          <w:bdr w:val="single" w:color="4F81BD" w:sz="30" w:space="0"/>
          <w:shd w:val="clear" w:fill="EEF5FB"/>
        </w:rPr>
        <w:t>最终输出：</w:t>
      </w:r>
      <w:r>
        <w:rPr>
          <w:rFonts w:hint="default" w:ascii="Ubuntu" w:hAnsi="Ubuntu" w:cs="Ubuntu" w:eastAsiaTheme="minorEastAsia"/>
          <w:bdr w:val="single" w:color="4F81BD" w:sz="30" w:space="0"/>
          <w:shd w:val="clear" w:fill="EEF5FB"/>
        </w:rPr>
        <w:t>对外仍输出x/y/z/roll/pitch/yaw六个量，但只有yaw、tx、ty、tz属于全局对齐参数。roll/pitch默认优先取UM981组合导航，经新鲜度、幅值和LIO一致性检查；无效时回退到重力水平化后的LIO姿态。</w:t>
      </w:r>
    </w:p>
    <w:p w14:paraId="60BFAF7F">
      <w:pPr>
        <w:pStyle w:val="4"/>
        <w:bidi w:val="0"/>
        <w:spacing w:before="180" w:after="180"/>
        <w:ind w:left="180" w:right="180" w:firstLine="0"/>
        <w:rPr>
          <w:rFonts w:hint="default" w:ascii="Ubuntu" w:hAnsi="Ubuntu" w:cs="Ubuntu" w:eastAsiaTheme="minorEastAsia"/>
          <w:bdr w:val="single" w:color="4F81BD" w:sz="30" w:space="0"/>
          <w:shd w:val="clear" w:fill="EEF5FB"/>
        </w:rPr>
      </w:pPr>
      <w:r>
        <w:rPr>
          <w:rFonts w:hint="default" w:ascii="Ubuntu" w:hAnsi="Ubuntu" w:cs="Ubuntu" w:eastAsiaTheme="minorEastAsia"/>
          <w:b/>
          <w:bdr w:val="single" w:color="4F81BD" w:sz="30" w:space="0"/>
          <w:shd w:val="clear" w:fill="EEF5FB"/>
        </w:rPr>
        <w:t>安全原则：</w:t>
      </w:r>
      <w:r>
        <w:rPr>
          <w:rFonts w:hint="default" w:ascii="Ubuntu" w:hAnsi="Ubuntu" w:cs="Ubuntu" w:eastAsiaTheme="minorEastAsia"/>
          <w:bdr w:val="single" w:color="4F81BD" w:sz="30" w:space="0"/>
          <w:shd w:val="clear" w:fill="EEF5FB"/>
        </w:rPr>
        <w:t>FAST-LIO未完成连续静态初始化、4DoF未完整建立、地图原点无效或GPS/LIO都不可用时，不得发布有效全局位姿，车辆保持停车。</w:t>
      </w:r>
    </w:p>
    <w:p w14:paraId="023BD248">
      <w:pPr>
        <w:pStyle w:val="5"/>
        <w:bidi w:val="0"/>
        <w:ind w:left="180" w:right="180" w:firstLine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3. 关键结论</w:t>
      </w:r>
      <w:bookmarkStart w:id="0" w:name="_GoBack"/>
      <w:bookmarkEnd w:id="0"/>
    </w:p>
    <w:p w14:paraId="629B31FF">
      <w:pPr>
        <w:pStyle w:val="4"/>
        <w:numPr>
          <w:ilvl w:val="0"/>
          <w:numId w:val="1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当前FAST-LIO已被实质修改：增加连续静态质量门控，并用通过门控的加速度均值与陀螺均值初始化重力和陀螺零偏。 </w:t>
      </w:r>
    </w:p>
    <w:p w14:paraId="4D21728A">
      <w:pPr>
        <w:pStyle w:val="4"/>
        <w:numPr>
          <w:ilvl w:val="0"/>
          <w:numId w:val="1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FAST-LIO内部原始世界W并未被强制旋转；水平化只产生独立的H系输出，不反馈修改点云地图、ESKF状态或ikd-tree。 </w:t>
      </w:r>
    </w:p>
    <w:p w14:paraId="4897DADC">
      <w:pPr>
        <w:pStyle w:val="4"/>
        <w:numPr>
          <w:ilvl w:val="0"/>
          <w:numId w:val="1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GPS相对坐标和4DoF映射后的LIO都使用同一个地图ENU原点，不再分别维护两套坐标转换器。 </w:t>
      </w:r>
    </w:p>
    <w:p w14:paraId="129F0C86">
      <w:pPr>
        <w:pStyle w:val="4"/>
        <w:numPr>
          <w:ilvl w:val="0"/>
          <w:numId w:val="1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4DoF是刚体变换，不含尺度参数。它能修正坐标原点、方向和高程偏移，不能把12.414 m自动拉伸为12.777 m。 </w:t>
      </w:r>
    </w:p>
    <w:p w14:paraId="7A710EB1">
      <w:pPr>
        <w:pStyle w:val="4"/>
        <w:numPr>
          <w:ilvl w:val="0"/>
          <w:numId w:val="1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定位节点完整重启后，必须读取建图时保存的地图原点，并按定位模式恢复；不能重新选择原点。 </w:t>
      </w:r>
    </w:p>
    <w:p w14:paraId="0FF00491">
      <w:pPr>
        <w:pStyle w:val="4"/>
        <w:numPr>
          <w:ilvl w:val="0"/>
          <w:numId w:val="1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仅重启fusion时可在同一FAST-LIO代际恢复保存的4DoF；FAST-LIO一旦重启，旧H系和旧4DoF必须作废并重新对齐。 </w:t>
      </w:r>
    </w:p>
    <w:p w14:paraId="4E426C80">
      <w:pPr>
        <w:pStyle w:val="4"/>
        <w:numPr>
          <w:ilvl w:val="0"/>
          <w:numId w:val="1"/>
        </w:numPr>
        <w:tabs>
          <w:tab w:val="left" w:pos="799"/>
        </w:tabs>
        <w:bidi w:val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当前纯LIO调试模式存在未完整检查4DoF有效性的边界风险，生产运行前应增加门控。 </w:t>
      </w:r>
    </w:p>
    <w:p w14:paraId="4790AB74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4. 文档目录</w:t>
      </w:r>
    </w:p>
    <w:p w14:paraId="2EB82311">
      <w:pPr>
        <w:pStyle w:val="4"/>
        <w:numPr>
          <w:ilvl w:val="0"/>
          <w:numId w:val="2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背景、问题与方案选择 </w:t>
      </w:r>
    </w:p>
    <w:p w14:paraId="467D5D07">
      <w:pPr>
        <w:pStyle w:val="4"/>
        <w:numPr>
          <w:ilvl w:val="0"/>
          <w:numId w:val="2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系统组成和数据流 </w:t>
      </w:r>
    </w:p>
    <w:p w14:paraId="2896044C">
      <w:pPr>
        <w:pStyle w:val="4"/>
        <w:numPr>
          <w:ilvl w:val="0"/>
          <w:numId w:val="2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坐标系、变换链和数学模型 </w:t>
      </w:r>
    </w:p>
    <w:p w14:paraId="7E86C3A5">
      <w:pPr>
        <w:pStyle w:val="4"/>
        <w:numPr>
          <w:ilvl w:val="0"/>
          <w:numId w:val="2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FAST-LIO静态初始化与重力水平化 </w:t>
      </w:r>
    </w:p>
    <w:p w14:paraId="559670CD">
      <w:pPr>
        <w:pStyle w:val="4"/>
        <w:numPr>
          <w:ilvl w:val="0"/>
          <w:numId w:val="2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雷达倾斜安装和杆臂补偿 </w:t>
      </w:r>
    </w:p>
    <w:p w14:paraId="281AF14B">
      <w:pPr>
        <w:pStyle w:val="4"/>
        <w:numPr>
          <w:ilvl w:val="0"/>
          <w:numId w:val="2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水平3DoF与竖直1DoF估计 </w:t>
      </w:r>
    </w:p>
    <w:p w14:paraId="07B15BB6">
      <w:pPr>
        <w:pStyle w:val="4"/>
        <w:numPr>
          <w:ilvl w:val="0"/>
          <w:numId w:val="2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roll/pitch/yaw来源与输出 </w:t>
      </w:r>
    </w:p>
    <w:p w14:paraId="44535110">
      <w:pPr>
        <w:pStyle w:val="4"/>
        <w:numPr>
          <w:ilvl w:val="0"/>
          <w:numId w:val="2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建图、定位、GPS失效恢复与节点重启 </w:t>
      </w:r>
    </w:p>
    <w:p w14:paraId="2562D9F0">
      <w:pPr>
        <w:pStyle w:val="4"/>
        <w:numPr>
          <w:ilvl w:val="0"/>
          <w:numId w:val="2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目前如何测试和采集数据 </w:t>
      </w:r>
    </w:p>
    <w:p w14:paraId="43A037AF">
      <w:pPr>
        <w:pStyle w:val="4"/>
        <w:numPr>
          <w:ilvl w:val="0"/>
          <w:numId w:val="2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如何计算指标、评估结果和定位问题 </w:t>
      </w:r>
    </w:p>
    <w:p w14:paraId="6F3F7F46">
      <w:pPr>
        <w:pStyle w:val="4"/>
        <w:numPr>
          <w:ilvl w:val="0"/>
          <w:numId w:val="2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代码、软件包、依赖和移植步骤 </w:t>
      </w:r>
    </w:p>
    <w:p w14:paraId="5D91F37F">
      <w:pPr>
        <w:pStyle w:val="4"/>
        <w:numPr>
          <w:ilvl w:val="0"/>
          <w:numId w:val="2"/>
        </w:numPr>
        <w:tabs>
          <w:tab w:val="left" w:pos="799"/>
        </w:tabs>
        <w:bidi w:val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已知风险、限制与后续工作 </w:t>
      </w:r>
    </w:p>
    <w:p w14:paraId="557FDB29">
      <w:pPr>
        <w:pStyle w:val="2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第一章 背景、问题与方案选择</w:t>
      </w:r>
    </w:p>
    <w:p w14:paraId="35DB3075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1.1 原始问题</w:t>
      </w:r>
    </w:p>
    <w:p w14:paraId="307F6E73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现场观察表明，长直线行驶和停车阶段，GPS、融合后的LIO以及原始LIO在整体位移上存在差异。一次已有数据中，同一条直线段计算结果约为：</w:t>
      </w:r>
    </w:p>
    <w:tbl>
      <w:tblPr>
        <w:tblStyle w:val="13"/>
        <w:tblW w:w="9360" w:type="dxa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08"/>
        <w:gridCol w:w="1934"/>
        <w:gridCol w:w="4818"/>
      </w:tblGrid>
      <w:tr w14:paraId="34F08B04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608" w:type="dxa"/>
            <w:vAlign w:val="center"/>
          </w:tcPr>
          <w:p w14:paraId="5769A81E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数据源</w:t>
            </w:r>
          </w:p>
        </w:tc>
        <w:tc>
          <w:tcPr>
            <w:tcW w:w="1934" w:type="dxa"/>
            <w:vAlign w:val="center"/>
          </w:tcPr>
          <w:p w14:paraId="6AF02369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直线段位移</w:t>
            </w:r>
          </w:p>
        </w:tc>
        <w:tc>
          <w:tcPr>
            <w:tcW w:w="4818" w:type="dxa"/>
            <w:vAlign w:val="center"/>
          </w:tcPr>
          <w:p w14:paraId="40EE62EC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说明</w:t>
            </w:r>
          </w:p>
        </w:tc>
      </w:tr>
      <w:tr w14:paraId="5CDC99E8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608" w:type="dxa"/>
            <w:vAlign w:val="center"/>
          </w:tcPr>
          <w:p w14:paraId="4D23BE9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/debug/lio</w:t>
            </w:r>
          </w:p>
        </w:tc>
        <w:tc>
          <w:tcPr>
            <w:tcW w:w="1934" w:type="dxa"/>
            <w:vAlign w:val="center"/>
          </w:tcPr>
          <w:p w14:paraId="59ED1B03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12.414 m</w:t>
            </w:r>
          </w:p>
        </w:tc>
        <w:tc>
          <w:tcPr>
            <w:tcW w:w="4818" w:type="dxa"/>
            <w:vAlign w:val="center"/>
          </w:tcPr>
          <w:p w14:paraId="7B7D12F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经过当前融合坐标处理的LIO调试结果</w:t>
            </w:r>
          </w:p>
        </w:tc>
      </w:tr>
      <w:tr w14:paraId="5F2E6FA9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608" w:type="dxa"/>
            <w:vAlign w:val="center"/>
          </w:tcPr>
          <w:p w14:paraId="0BE4B41C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/debug/gps</w:t>
            </w:r>
          </w:p>
        </w:tc>
        <w:tc>
          <w:tcPr>
            <w:tcW w:w="1934" w:type="dxa"/>
            <w:vAlign w:val="center"/>
          </w:tcPr>
          <w:p w14:paraId="1674AF0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12.777 m</w:t>
            </w:r>
          </w:p>
        </w:tc>
        <w:tc>
          <w:tcPr>
            <w:tcW w:w="4818" w:type="dxa"/>
            <w:vAlign w:val="center"/>
          </w:tcPr>
          <w:p w14:paraId="754044C4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GPS相对ENU结果，但不能先验认定为真值</w:t>
            </w:r>
          </w:p>
        </w:tc>
      </w:tr>
      <w:tr w14:paraId="04DFEA0C">
        <w:tc>
          <w:tcPr>
            <w:tcW w:w="2608" w:type="dxa"/>
            <w:vAlign w:val="center"/>
          </w:tcPr>
          <w:p w14:paraId="6774BD6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/Mower/lio_slam</w:t>
            </w:r>
          </w:p>
        </w:tc>
        <w:tc>
          <w:tcPr>
            <w:tcW w:w="1934" w:type="dxa"/>
            <w:vAlign w:val="center"/>
          </w:tcPr>
          <w:p w14:paraId="33C8B1D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12.470 m</w:t>
            </w:r>
          </w:p>
        </w:tc>
        <w:tc>
          <w:tcPr>
            <w:tcW w:w="4818" w:type="dxa"/>
            <w:vAlign w:val="center"/>
          </w:tcPr>
          <w:p w14:paraId="78A59705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原始FAST-LIO结果</w:t>
            </w:r>
          </w:p>
        </w:tc>
      </w:tr>
    </w:tbl>
    <w:p w14:paraId="583BBB63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同时观测到原始LIO z变化约2.737 m、水平化LIO z变化约2.748 m。这些数值只能说明不同输出之间存在差异，不能单凭GPS走得更远就判定GPS更准确，也不能单凭原始LIO和水平LIO接近就证明标定完全正确。</w:t>
      </w:r>
    </w:p>
    <w:p w14:paraId="4C804C56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1.2 需要解决的核心矛盾</w:t>
      </w:r>
    </w:p>
    <w:p w14:paraId="2793E0ED">
      <w:pPr>
        <w:pStyle w:val="4"/>
        <w:numPr>
          <w:ilvl w:val="0"/>
          <w:numId w:val="3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FAST-LIO局部坐标系每次启动重新建立，无法天然复用地图ENU原点。 </w:t>
      </w:r>
    </w:p>
    <w:p w14:paraId="07075752">
      <w:pPr>
        <w:pStyle w:val="4"/>
        <w:numPr>
          <w:ilvl w:val="0"/>
          <w:numId w:val="3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雷达倾斜安装，原始LIO世界坐标系不一定水平；直接用二维SE(2)处理可能混入坡度和安装角影响。 </w:t>
      </w:r>
    </w:p>
    <w:p w14:paraId="0E6862A3">
      <w:pPr>
        <w:pStyle w:val="4"/>
        <w:numPr>
          <w:ilvl w:val="0"/>
          <w:numId w:val="3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GPS可以给出全局位置，但不应被无条件视为真值，特别是在多路径、遮挡、高程噪声和低速航向不稳定条件下。 </w:t>
      </w:r>
    </w:p>
    <w:p w14:paraId="77B7C91F">
      <w:pPr>
        <w:pStyle w:val="4"/>
        <w:numPr>
          <w:ilvl w:val="0"/>
          <w:numId w:val="3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牛耕式运动有很长的直线阶段，单纯用直线点拟合旋转存在几何退化。 </w:t>
      </w:r>
    </w:p>
    <w:p w14:paraId="330F7088">
      <w:pPr>
        <w:pStyle w:val="4"/>
        <w:numPr>
          <w:ilvl w:val="0"/>
          <w:numId w:val="3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地图需要复用，定位节点又存在重启机制，因此必须区分“永久地图身份”和“本次LIO进程代际”。 </w:t>
      </w:r>
    </w:p>
    <w:p w14:paraId="335A9483">
      <w:pPr>
        <w:pStyle w:val="4"/>
        <w:numPr>
          <w:ilvl w:val="0"/>
          <w:numId w:val="3"/>
        </w:numPr>
        <w:tabs>
          <w:tab w:val="left" w:pos="799"/>
        </w:tabs>
        <w:bidi w:val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最终下游需要实时x/y/z/roll/pitch/yaw，不能只输出平面位置。 </w:t>
      </w:r>
    </w:p>
    <w:p w14:paraId="516BD67C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1.3 为什么选择重力约束4DoF</w:t>
      </w:r>
    </w:p>
    <w:p w14:paraId="21E0F929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地面割草机的roll/pitch主要由重力和地形坡度决定。重力是IMU可以持续观测的强约束，而GPS高程和姿态相对更弱。如果再用全局SE(3)同时优化roll/pitch，会把已经由重力可靠确定的方向重新暴露给GPS噪声、时间同步误差和杆臂误差。</w:t>
      </w:r>
    </w:p>
    <w:p w14:paraId="3F048DBD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因此当前方案将全局对齐限制为：</w:t>
      </w:r>
    </w:p>
    <w:p w14:paraId="1FDA0C07">
      <w:pPr>
        <w:pStyle w:val="4"/>
        <w:bidi w:val="0"/>
        <w:jc w:val="center"/>
        <w:rPr>
          <w:rFonts w:hint="default" w:ascii="Ubuntu" w:hAnsi="Ubuntu" w:cs="Ubuntu" w:eastAsiaTheme="minorEastAsia"/>
          <w:sz w:val="23"/>
        </w:rPr>
      </w:pPr>
      <w:r>
        <w:rPr>
          <w:rFonts w:hint="default" w:ascii="Ubuntu" w:hAnsi="Ubuntu" w:cs="Ubuntu" w:eastAsiaTheme="minorEastAsia"/>
          <w:sz w:val="23"/>
        </w:rPr>
        <w:t>ξ</w:t>
      </w:r>
      <w:r>
        <w:rPr>
          <w:rFonts w:hint="default" w:ascii="Ubuntu" w:hAnsi="Ubuntu" w:cs="Ubuntu" w:eastAsiaTheme="minorEastAsia"/>
          <w:position w:val="-2"/>
          <w:sz w:val="23"/>
        </w:rPr>
        <w:t>4D</w:t>
      </w:r>
      <w:r>
        <w:rPr>
          <w:rFonts w:hint="default" w:ascii="Ubuntu" w:hAnsi="Ubuntu" w:cs="Ubuntu" w:eastAsiaTheme="minorEastAsia"/>
          <w:sz w:val="23"/>
        </w:rPr>
        <w:t xml:space="preserve"> = [θ, t</w:t>
      </w:r>
      <w:r>
        <w:rPr>
          <w:rFonts w:hint="default" w:ascii="Ubuntu" w:hAnsi="Ubuntu" w:cs="Ubuntu" w:eastAsiaTheme="minorEastAsia"/>
          <w:position w:val="-2"/>
          <w:sz w:val="23"/>
        </w:rPr>
        <w:t>x</w:t>
      </w:r>
      <w:r>
        <w:rPr>
          <w:rFonts w:hint="default" w:ascii="Ubuntu" w:hAnsi="Ubuntu" w:cs="Ubuntu" w:eastAsiaTheme="minorEastAsia"/>
          <w:sz w:val="23"/>
        </w:rPr>
        <w:t>, t</w:t>
      </w:r>
      <w:r>
        <w:rPr>
          <w:rFonts w:hint="default" w:ascii="Ubuntu" w:hAnsi="Ubuntu" w:cs="Ubuntu" w:eastAsiaTheme="minorEastAsia"/>
          <w:position w:val="-2"/>
          <w:sz w:val="23"/>
        </w:rPr>
        <w:t>y</w:t>
      </w:r>
      <w:r>
        <w:rPr>
          <w:rFonts w:hint="default" w:ascii="Ubuntu" w:hAnsi="Ubuntu" w:cs="Ubuntu" w:eastAsiaTheme="minorEastAsia"/>
          <w:sz w:val="23"/>
        </w:rPr>
        <w:t>, t</w:t>
      </w:r>
      <w:r>
        <w:rPr>
          <w:rFonts w:hint="default" w:ascii="Ubuntu" w:hAnsi="Ubuntu" w:cs="Ubuntu" w:eastAsiaTheme="minorEastAsia"/>
          <w:position w:val="-2"/>
          <w:sz w:val="23"/>
        </w:rPr>
        <w:t>z</w:t>
      </w:r>
      <w:r>
        <w:rPr>
          <w:rFonts w:hint="default" w:ascii="Ubuntu" w:hAnsi="Ubuntu" w:cs="Ubuntu" w:eastAsiaTheme="minorEastAsia"/>
          <w:sz w:val="23"/>
        </w:rPr>
        <w:t>]</w:t>
      </w:r>
    </w:p>
    <w:p w14:paraId="1C4A03B4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其含义不是车辆只有4个姿态量，而是地图全局系与重力水平LIO系之间只允许存在一个yaw和三维平移。roll/pitch来自重力约束后的车体姿态，不作为GPS-LIO全局对齐的自由变量。</w:t>
      </w:r>
    </w:p>
    <w:p w14:paraId="1732F20B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1.4 本方案明确不解决的内容</w:t>
      </w:r>
    </w:p>
    <w:p w14:paraId="68974F83">
      <w:pPr>
        <w:pStyle w:val="4"/>
        <w:numPr>
          <w:ilvl w:val="0"/>
          <w:numId w:val="4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不估计LIO到GPS的尺度因子。 </w:t>
      </w:r>
    </w:p>
    <w:p w14:paraId="48CDA290">
      <w:pPr>
        <w:pStyle w:val="4"/>
        <w:numPr>
          <w:ilvl w:val="0"/>
          <w:numId w:val="4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不把GPS作为绝对真值，只把通过质量门控的GPS作为全局参考观测。 </w:t>
      </w:r>
    </w:p>
    <w:p w14:paraId="1F6B2815">
      <w:pPr>
        <w:pStyle w:val="4"/>
        <w:numPr>
          <w:ilvl w:val="0"/>
          <w:numId w:val="4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不在线估计雷达-IMU、IMU-base_link外参；这些仍需离线标定和实车核验。 </w:t>
      </w:r>
    </w:p>
    <w:p w14:paraId="12EFFBFB">
      <w:pPr>
        <w:pStyle w:val="4"/>
        <w:numPr>
          <w:ilvl w:val="0"/>
          <w:numId w:val="4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不在FAST-LIO重启且GPS完全不可用时承诺立即恢复全球坐标。 </w:t>
      </w:r>
    </w:p>
    <w:p w14:paraId="3E98BDCB">
      <w:pPr>
        <w:pStyle w:val="4"/>
        <w:numPr>
          <w:ilvl w:val="0"/>
          <w:numId w:val="4"/>
        </w:numPr>
        <w:tabs>
          <w:tab w:val="left" w:pos="799"/>
        </w:tabs>
        <w:bidi w:val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不代替底盘安全控制；本系统发布停车命令，实际制动仍由底盘消费者执行。 </w:t>
      </w:r>
    </w:p>
    <w:p w14:paraId="3BD1BE31">
      <w:pPr>
        <w:pStyle w:val="2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第二章 系统组成和数据流</w:t>
      </w:r>
    </w:p>
    <w:p w14:paraId="45C50D13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2.1 总体数据链</w:t>
      </w:r>
    </w:p>
    <w:p w14:paraId="0E4D2BA0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Mid-360 / livox_ros_driver2</w:t>
      </w:r>
    </w:p>
    <w:p w14:paraId="273C4460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  ├── /livox/lidar</w:t>
      </w:r>
    </w:p>
    <w:p w14:paraId="290B57D1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  └── /livox/imu</w:t>
      </w:r>
    </w:p>
    <w:p w14:paraId="755C7A63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            │</w:t>
      </w:r>
    </w:p>
    <w:p w14:paraId="3BCC50B7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            ▼</w:t>
      </w:r>
    </w:p>
    <w:p w14:paraId="4BE1D4B6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修改版 fast_lio（节点 /laserMapping）</w:t>
      </w:r>
    </w:p>
    <w:p w14:paraId="67FABD14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  ├── /Mower/lio_slam                 原始W系LIO</w:t>
      </w:r>
    </w:p>
    <w:p w14:paraId="48A4F726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  ├── /Mower/lio_slam_level           重力水平H系LIO</w:t>
      </w:r>
    </w:p>
    <w:p w14:paraId="3C44F729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  ├── /Mower/lio_level_transform      H←W与本进程代际标识</w:t>
      </w:r>
    </w:p>
    <w:p w14:paraId="2B916B24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  └── /Mower/lio_static_initialized   静态初始化状态</w:t>
      </w:r>
    </w:p>
    <w:p w14:paraId="5C403817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</w:p>
    <w:p w14:paraId="703B26F8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UM981 ──串口── serial_reader</w:t>
      </w:r>
    </w:p>
    <w:p w14:paraId="3747840A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  └── /nanobot/gpsposition</w:t>
      </w:r>
    </w:p>
    <w:p w14:paraId="47B1F62B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      经纬高、ENU航向、roll/pitch、速度、精度和INS状态</w:t>
      </w:r>
    </w:p>
    <w:p w14:paraId="7C15675F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</w:p>
    <w:p w14:paraId="04AAECCD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/Mower/lio_slam_level + /nanobot/gpsposition</w:t>
      </w:r>
    </w:p>
    <w:p w14:paraId="442BE5B3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            │</w:t>
      </w:r>
    </w:p>
    <w:p w14:paraId="293FAB9D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            ▼</w:t>
      </w:r>
    </w:p>
    <w:p w14:paraId="7C73E332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fusion_4dof（节点 /fusion_4dof）</w:t>
      </w:r>
    </w:p>
    <w:p w14:paraId="08AF63F7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  ├── 轴变换与IMU→base_link外参补偿</w:t>
      </w:r>
    </w:p>
    <w:p w14:paraId="40E35D03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  ├── H→ENU水平Umeyama估计</w:t>
      </w:r>
    </w:p>
    <w:p w14:paraId="6858FBDF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  ├── 稳健tz估计</w:t>
      </w:r>
    </w:p>
    <w:p w14:paraId="420E23E3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  ├── GPS/LIO状态切换与恢复迟滞</w:t>
      </w:r>
    </w:p>
    <w:p w14:paraId="718CAA97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  └── /Mower/position</w:t>
      </w:r>
    </w:p>
    <w:p w14:paraId="69C7061E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</w:p>
    <w:p w14:paraId="1D2D7132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android_manager_4dof</w:t>
      </w:r>
    </w:p>
    <w:p w14:paraId="6D8151BE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  ├── 地图切换、模式切换、看门狗与重启</w:t>
      </w:r>
    </w:p>
    <w:p w14:paraId="07C60D44">
      <w:pPr>
        <w:pStyle w:val="26"/>
        <w:bidi w:val="0"/>
        <w:spacing w:before="0" w:after="283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  └── /mower/stop_car（latched）</w:t>
      </w:r>
    </w:p>
    <w:p w14:paraId="6F69925E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2.2 必需ROS组件</w:t>
      </w:r>
    </w:p>
    <w:tbl>
      <w:tblPr>
        <w:tblStyle w:val="13"/>
        <w:tblW w:w="9360" w:type="dxa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84"/>
        <w:gridCol w:w="3560"/>
        <w:gridCol w:w="3116"/>
      </w:tblGrid>
      <w:tr w14:paraId="1EB90A57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684" w:type="dxa"/>
            <w:vAlign w:val="center"/>
          </w:tcPr>
          <w:p w14:paraId="469AAD6D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组件</w:t>
            </w:r>
          </w:p>
        </w:tc>
        <w:tc>
          <w:tcPr>
            <w:tcW w:w="3560" w:type="dxa"/>
            <w:vAlign w:val="center"/>
          </w:tcPr>
          <w:p w14:paraId="60F9C14C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作用</w:t>
            </w:r>
          </w:p>
        </w:tc>
        <w:tc>
          <w:tcPr>
            <w:tcW w:w="3116" w:type="dxa"/>
            <w:vAlign w:val="center"/>
          </w:tcPr>
          <w:p w14:paraId="38135A71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当前部署要求</w:t>
            </w:r>
          </w:p>
        </w:tc>
      </w:tr>
      <w:tr w14:paraId="27D72E6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684" w:type="dxa"/>
            <w:vAlign w:val="center"/>
          </w:tcPr>
          <w:p w14:paraId="7888E88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livox_ros_driver2</w:t>
            </w:r>
          </w:p>
        </w:tc>
        <w:tc>
          <w:tcPr>
            <w:tcW w:w="3560" w:type="dxa"/>
            <w:vAlign w:val="center"/>
          </w:tcPr>
          <w:p w14:paraId="17AEA953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发布Mid-360点云与IMU</w:t>
            </w:r>
          </w:p>
        </w:tc>
        <w:tc>
          <w:tcPr>
            <w:tcW w:w="3116" w:type="dxa"/>
            <w:vAlign w:val="center"/>
          </w:tcPr>
          <w:p w14:paraId="508957E4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外部工作空间，必须先启动并source</w:t>
            </w:r>
          </w:p>
        </w:tc>
      </w:tr>
      <w:tr w14:paraId="13D8ECCD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684" w:type="dxa"/>
            <w:vAlign w:val="center"/>
          </w:tcPr>
          <w:p w14:paraId="035DF0A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util</w:t>
            </w:r>
          </w:p>
        </w:tc>
        <w:tc>
          <w:tcPr>
            <w:tcW w:w="3560" w:type="dxa"/>
            <w:vAlign w:val="center"/>
          </w:tcPr>
          <w:p w14:paraId="105952B1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定义GpsPosition、LIOPose、Position等消息</w:t>
            </w:r>
          </w:p>
        </w:tc>
        <w:tc>
          <w:tcPr>
            <w:tcW w:w="3116" w:type="dxa"/>
            <w:vAlign w:val="center"/>
          </w:tcPr>
          <w:p w14:paraId="5DB67AB6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同一catkin工作空间只能存在一个同名util包</w:t>
            </w:r>
          </w:p>
        </w:tc>
      </w:tr>
      <w:tr w14:paraId="271AF9FC">
        <w:tc>
          <w:tcPr>
            <w:tcW w:w="2684" w:type="dxa"/>
            <w:vAlign w:val="center"/>
          </w:tcPr>
          <w:p w14:paraId="12DB16D6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fast_lio</w:t>
            </w:r>
          </w:p>
        </w:tc>
        <w:tc>
          <w:tcPr>
            <w:tcW w:w="3560" w:type="dxa"/>
            <w:vAlign w:val="center"/>
          </w:tcPr>
          <w:p w14:paraId="7D5CC66F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LIO、静态初始化、重力水平化、代际发布</w:t>
            </w:r>
          </w:p>
        </w:tc>
        <w:tc>
          <w:tcPr>
            <w:tcW w:w="3116" w:type="dxa"/>
            <w:vAlign w:val="center"/>
          </w:tcPr>
          <w:p w14:paraId="1DD97C00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必须使用当前修改版，不能替换成官方原版</w:t>
            </w:r>
          </w:p>
        </w:tc>
      </w:tr>
      <w:tr w14:paraId="33504B28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684" w:type="dxa"/>
            <w:vAlign w:val="center"/>
          </w:tcPr>
          <w:p w14:paraId="3BA2B254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serial_reader</w:t>
            </w:r>
          </w:p>
        </w:tc>
        <w:tc>
          <w:tcPr>
            <w:tcW w:w="3560" w:type="dxa"/>
            <w:vAlign w:val="center"/>
          </w:tcPr>
          <w:p w14:paraId="238F052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解析UM981 DRPVAA、IMUATTA、GNGGA</w:t>
            </w:r>
          </w:p>
        </w:tc>
        <w:tc>
          <w:tcPr>
            <w:tcW w:w="3116" w:type="dxa"/>
            <w:vAlign w:val="center"/>
          </w:tcPr>
          <w:p w14:paraId="069A444C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源码目录名为pub_pos_yaw</w:t>
            </w:r>
          </w:p>
        </w:tc>
      </w:tr>
      <w:tr w14:paraId="72DAEC28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684" w:type="dxa"/>
            <w:vAlign w:val="center"/>
          </w:tcPr>
          <w:p w14:paraId="2E774086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fusion_4dof</w:t>
            </w:r>
          </w:p>
        </w:tc>
        <w:tc>
          <w:tcPr>
            <w:tcW w:w="3560" w:type="dxa"/>
            <w:vAlign w:val="center"/>
          </w:tcPr>
          <w:p w14:paraId="3FED40A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全局4DoF对齐和最终定位输出</w:t>
            </w:r>
          </w:p>
        </w:tc>
        <w:tc>
          <w:tcPr>
            <w:tcW w:w="3116" w:type="dxa"/>
            <w:vAlign w:val="center"/>
          </w:tcPr>
          <w:p w14:paraId="4F4D96D6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替代旧fusion/fusion_se2</w:t>
            </w:r>
          </w:p>
        </w:tc>
      </w:tr>
      <w:tr w14:paraId="21176FF1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684" w:type="dxa"/>
            <w:vAlign w:val="center"/>
          </w:tcPr>
          <w:p w14:paraId="7AE03602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android_manager_4dof</w:t>
            </w:r>
          </w:p>
        </w:tc>
        <w:tc>
          <w:tcPr>
            <w:tcW w:w="3560" w:type="dxa"/>
            <w:vAlign w:val="center"/>
          </w:tcPr>
          <w:p w14:paraId="173BD02C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停车、地图管理和节点重启</w:t>
            </w:r>
          </w:p>
        </w:tc>
        <w:tc>
          <w:tcPr>
            <w:tcW w:w="3116" w:type="dxa"/>
            <w:vAlign w:val="center"/>
          </w:tcPr>
          <w:p w14:paraId="2788C3C1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不能与旧android_manager同时运行</w:t>
            </w:r>
          </w:p>
        </w:tc>
      </w:tr>
      <w:tr w14:paraId="15DB5547">
        <w:tc>
          <w:tcPr>
            <w:tcW w:w="2684" w:type="dxa"/>
            <w:vAlign w:val="center"/>
          </w:tcPr>
          <w:p w14:paraId="7B248EC6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restart_ros_nodes.sh</w:t>
            </w:r>
          </w:p>
        </w:tc>
        <w:tc>
          <w:tcPr>
            <w:tcW w:w="3560" w:type="dxa"/>
            <w:vAlign w:val="center"/>
          </w:tcPr>
          <w:p w14:paraId="24920360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按节点名安全终止并重启</w:t>
            </w:r>
          </w:p>
        </w:tc>
        <w:tc>
          <w:tcPr>
            <w:tcW w:w="3116" w:type="dxa"/>
            <w:vAlign w:val="center"/>
          </w:tcPr>
          <w:p w14:paraId="5AF84CA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当前代码以裸命令调用，必须位于PATH</w:t>
            </w:r>
          </w:p>
        </w:tc>
      </w:tr>
    </w:tbl>
    <w:p w14:paraId="2B1D9056">
      <w:pPr>
        <w:pStyle w:val="2"/>
        <w:pBdr>
          <w:bottom w:val="single" w:color="4F81BD" w:sz="12" w:space="5"/>
        </w:pBdr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第三章 坐标系、变换链和数学模型</w:t>
      </w:r>
    </w:p>
    <w:p w14:paraId="5611A4A0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3.1 坐标系定义</w:t>
      </w:r>
    </w:p>
    <w:tbl>
      <w:tblPr>
        <w:tblStyle w:val="13"/>
        <w:tblW w:w="9360" w:type="dxa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74"/>
        <w:gridCol w:w="2583"/>
        <w:gridCol w:w="5603"/>
      </w:tblGrid>
      <w:tr w14:paraId="7FBFB5F1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174" w:type="dxa"/>
            <w:vAlign w:val="center"/>
          </w:tcPr>
          <w:p w14:paraId="4A39B065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符号</w:t>
            </w:r>
          </w:p>
        </w:tc>
        <w:tc>
          <w:tcPr>
            <w:tcW w:w="2583" w:type="dxa"/>
            <w:vAlign w:val="center"/>
          </w:tcPr>
          <w:p w14:paraId="5EE43DB6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名称</w:t>
            </w:r>
          </w:p>
        </w:tc>
        <w:tc>
          <w:tcPr>
            <w:tcW w:w="5603" w:type="dxa"/>
            <w:vAlign w:val="center"/>
          </w:tcPr>
          <w:p w14:paraId="414E984B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来源与性质</w:t>
            </w:r>
          </w:p>
        </w:tc>
      </w:tr>
      <w:tr w14:paraId="60690829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174" w:type="dxa"/>
            <w:vAlign w:val="center"/>
          </w:tcPr>
          <w:p w14:paraId="25732029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W</w:t>
            </w:r>
          </w:p>
        </w:tc>
        <w:tc>
          <w:tcPr>
            <w:tcW w:w="2583" w:type="dxa"/>
            <w:vAlign w:val="center"/>
          </w:tcPr>
          <w:p w14:paraId="7929140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FAST-LIO原始世界系</w:t>
            </w:r>
          </w:p>
        </w:tc>
        <w:tc>
          <w:tcPr>
            <w:tcW w:w="5603" w:type="dxa"/>
            <w:vAlign w:val="center"/>
          </w:tcPr>
          <w:p w14:paraId="461DE6D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每次/laserMapping启动重新建立；yaw无全球含义；不保证严格水平</w:t>
            </w:r>
          </w:p>
        </w:tc>
      </w:tr>
      <w:tr w14:paraId="156EFFDD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174" w:type="dxa"/>
            <w:vAlign w:val="center"/>
          </w:tcPr>
          <w:p w14:paraId="553D3369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H</w:t>
            </w:r>
          </w:p>
        </w:tc>
        <w:tc>
          <w:tcPr>
            <w:tcW w:w="2583" w:type="dxa"/>
            <w:vAlign w:val="center"/>
          </w:tcPr>
          <w:p w14:paraId="77465A9F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重力水平局部世界系</w:t>
            </w:r>
          </w:p>
        </w:tc>
        <w:tc>
          <w:tcPr>
            <w:tcW w:w="5603" w:type="dxa"/>
            <w:vAlign w:val="center"/>
          </w:tcPr>
          <w:p w14:paraId="581F9915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通过FAST-LIO重力状态把W扶正；每代固定；yaw仍无全球含义</w:t>
            </w:r>
          </w:p>
        </w:tc>
      </w:tr>
      <w:tr w14:paraId="6612D727">
        <w:tc>
          <w:tcPr>
            <w:tcW w:w="1174" w:type="dxa"/>
            <w:vAlign w:val="center"/>
          </w:tcPr>
          <w:p w14:paraId="0D07766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I</w:t>
            </w:r>
          </w:p>
        </w:tc>
        <w:tc>
          <w:tcPr>
            <w:tcW w:w="2583" w:type="dxa"/>
            <w:vAlign w:val="center"/>
          </w:tcPr>
          <w:p w14:paraId="495A794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FAST-LIO IMU系</w:t>
            </w:r>
          </w:p>
        </w:tc>
        <w:tc>
          <w:tcPr>
            <w:tcW w:w="5603" w:type="dxa"/>
            <w:vAlign w:val="center"/>
          </w:tcPr>
          <w:p w14:paraId="5E3F74B9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/Mower/lio_slam_level当前表达的传感器状态原点</w:t>
            </w:r>
          </w:p>
        </w:tc>
      </w:tr>
      <w:tr w14:paraId="70FC14B9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174" w:type="dxa"/>
            <w:vAlign w:val="center"/>
          </w:tcPr>
          <w:p w14:paraId="679FA5E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B</w:t>
            </w:r>
          </w:p>
        </w:tc>
        <w:tc>
          <w:tcPr>
            <w:tcW w:w="2583" w:type="dxa"/>
            <w:vAlign w:val="center"/>
          </w:tcPr>
          <w:p w14:paraId="0C5C09B9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base_link车体系</w:t>
            </w:r>
          </w:p>
        </w:tc>
        <w:tc>
          <w:tcPr>
            <w:tcW w:w="5603" w:type="dxa"/>
            <w:vAlign w:val="center"/>
          </w:tcPr>
          <w:p w14:paraId="4EED9D1F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车辆控制和对外姿态所需的物理参考点</w:t>
            </w:r>
          </w:p>
        </w:tc>
      </w:tr>
      <w:tr w14:paraId="4FCA61D2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174" w:type="dxa"/>
            <w:vAlign w:val="center"/>
          </w:tcPr>
          <w:p w14:paraId="6C31AB2F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E</w:t>
            </w:r>
          </w:p>
        </w:tc>
        <w:tc>
          <w:tcPr>
            <w:tcW w:w="2583" w:type="dxa"/>
            <w:vAlign w:val="center"/>
          </w:tcPr>
          <w:p w14:paraId="3FDBF212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地图ENU系</w:t>
            </w:r>
          </w:p>
        </w:tc>
        <w:tc>
          <w:tcPr>
            <w:tcW w:w="5603" w:type="dxa"/>
            <w:vAlign w:val="center"/>
          </w:tcPr>
          <w:p w14:paraId="452CE806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x=East、y=North、z=Up，以建图保存的经纬高原点定义</w:t>
            </w:r>
          </w:p>
        </w:tc>
      </w:tr>
    </w:tbl>
    <w:p w14:paraId="04299A0E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3.2 完整变换链</w:t>
      </w:r>
    </w:p>
    <w:p w14:paraId="5FDF82B8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FAST-LIO首先估计：</w:t>
      </w:r>
    </w:p>
    <w:p w14:paraId="04A177E2">
      <w:pPr>
        <w:pStyle w:val="4"/>
        <w:bidi w:val="0"/>
        <w:jc w:val="center"/>
        <w:rPr>
          <w:rFonts w:hint="default" w:ascii="Ubuntu" w:hAnsi="Ubuntu" w:cs="Ubuntu" w:eastAsiaTheme="minorEastAsia"/>
          <w:sz w:val="23"/>
        </w:rPr>
      </w:pPr>
      <w:r>
        <w:rPr>
          <w:rFonts w:hint="default" w:ascii="Ubuntu" w:hAnsi="Ubuntu" w:cs="Ubuntu" w:eastAsiaTheme="minorEastAsia"/>
          <w:sz w:val="23"/>
        </w:rPr>
        <w:t>T</w:t>
      </w:r>
      <w:r>
        <w:rPr>
          <w:rFonts w:hint="default" w:ascii="Ubuntu" w:hAnsi="Ubuntu" w:cs="Ubuntu" w:eastAsiaTheme="minorEastAsia"/>
          <w:position w:val="-2"/>
          <w:sz w:val="23"/>
        </w:rPr>
        <w:t>W←I</w:t>
      </w:r>
    </w:p>
    <w:p w14:paraId="7E27056F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静态初始化完成后，根据重力得到固定：</w:t>
      </w:r>
    </w:p>
    <w:p w14:paraId="2C257630">
      <w:pPr>
        <w:pStyle w:val="4"/>
        <w:bidi w:val="0"/>
        <w:jc w:val="center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  <w:sz w:val="23"/>
        </w:rPr>
        <w:t>R</w:t>
      </w:r>
      <w:r>
        <w:rPr>
          <w:rFonts w:hint="default" w:ascii="Ubuntu" w:hAnsi="Ubuntu" w:cs="Ubuntu" w:eastAsiaTheme="minorEastAsia"/>
          <w:position w:val="-2"/>
          <w:sz w:val="23"/>
        </w:rPr>
        <w:t>H←W</w:t>
      </w:r>
      <w:r>
        <w:rPr>
          <w:rFonts w:hint="default" w:ascii="Ubuntu" w:hAnsi="Ubuntu" w:cs="Ubuntu" w:eastAsiaTheme="minorEastAsia"/>
          <w:sz w:val="23"/>
        </w:rPr>
        <w:t xml:space="preserve">，使 </w:t>
      </w:r>
      <w:r>
        <w:rPr>
          <w:rFonts w:hint="default" w:ascii="Ubuntu" w:hAnsi="Ubuntu" w:cs="Ubuntu" w:eastAsiaTheme="minorEastAsia"/>
          <w:sz w:val="23"/>
        </w:rPr>
        <w:t>R</w:t>
      </w:r>
      <w:r>
        <w:rPr>
          <w:rFonts w:hint="default" w:ascii="Ubuntu" w:hAnsi="Ubuntu" w:cs="Ubuntu" w:eastAsiaTheme="minorEastAsia"/>
          <w:position w:val="-2"/>
          <w:sz w:val="23"/>
        </w:rPr>
        <w:t>H←W</w:t>
      </w:r>
      <w:r>
        <w:rPr>
          <w:rFonts w:hint="default" w:ascii="Ubuntu" w:hAnsi="Ubuntu" w:cs="Ubuntu" w:eastAsiaTheme="minorEastAsia"/>
          <w:sz w:val="23"/>
        </w:rPr>
        <w:t>g</w:t>
      </w:r>
      <w:r>
        <w:rPr>
          <w:rFonts w:hint="default" w:ascii="Ubuntu" w:hAnsi="Ubuntu" w:cs="Ubuntu" w:eastAsiaTheme="minorEastAsia"/>
          <w:position w:val="-2"/>
          <w:sz w:val="23"/>
        </w:rPr>
        <w:t>W</w:t>
      </w:r>
      <w:r>
        <w:rPr>
          <w:rFonts w:hint="default" w:ascii="Ubuntu" w:hAnsi="Ubuntu" w:cs="Ubuntu" w:eastAsiaTheme="minorEastAsia"/>
          <w:sz w:val="23"/>
        </w:rPr>
        <w:t xml:space="preserve"> = [0,0,-|g|]</w:t>
      </w:r>
      <w:r>
        <w:rPr>
          <w:rFonts w:hint="default" w:ascii="Ubuntu" w:hAnsi="Ubuntu" w:cs="Ubuntu" w:eastAsiaTheme="minorEastAsia"/>
          <w:position w:val="8"/>
          <w:sz w:val="23"/>
        </w:rPr>
        <w:t>T</w:t>
      </w:r>
    </w:p>
    <w:p w14:paraId="0FB205C8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于是：</w:t>
      </w:r>
    </w:p>
    <w:p w14:paraId="3924BFDB">
      <w:pPr>
        <w:pStyle w:val="4"/>
        <w:bidi w:val="0"/>
        <w:jc w:val="center"/>
        <w:rPr>
          <w:rFonts w:hint="default" w:ascii="Ubuntu" w:hAnsi="Ubuntu" w:cs="Ubuntu" w:eastAsiaTheme="minorEastAsia"/>
          <w:sz w:val="23"/>
        </w:rPr>
      </w:pPr>
      <w:r>
        <w:rPr>
          <w:rFonts w:hint="default" w:ascii="Ubuntu" w:hAnsi="Ubuntu" w:cs="Ubuntu" w:eastAsiaTheme="minorEastAsia"/>
          <w:sz w:val="23"/>
        </w:rPr>
        <w:t>T</w:t>
      </w:r>
      <w:r>
        <w:rPr>
          <w:rFonts w:hint="default" w:ascii="Ubuntu" w:hAnsi="Ubuntu" w:cs="Ubuntu" w:eastAsiaTheme="minorEastAsia"/>
          <w:position w:val="-2"/>
          <w:sz w:val="23"/>
        </w:rPr>
        <w:t>H←I</w:t>
      </w:r>
      <w:r>
        <w:rPr>
          <w:rFonts w:hint="default" w:ascii="Ubuntu" w:hAnsi="Ubuntu" w:cs="Ubuntu" w:eastAsiaTheme="minorEastAsia"/>
          <w:sz w:val="23"/>
        </w:rPr>
        <w:t xml:space="preserve"> = T</w:t>
      </w:r>
      <w:r>
        <w:rPr>
          <w:rFonts w:hint="default" w:ascii="Ubuntu" w:hAnsi="Ubuntu" w:cs="Ubuntu" w:eastAsiaTheme="minorEastAsia"/>
          <w:position w:val="-2"/>
          <w:sz w:val="23"/>
        </w:rPr>
        <w:t>H←W</w:t>
      </w:r>
      <w:r>
        <w:rPr>
          <w:rFonts w:hint="default" w:ascii="Ubuntu" w:hAnsi="Ubuntu" w:cs="Ubuntu" w:eastAsiaTheme="minorEastAsia"/>
          <w:sz w:val="23"/>
        </w:rPr>
        <w:t>T</w:t>
      </w:r>
      <w:r>
        <w:rPr>
          <w:rFonts w:hint="default" w:ascii="Ubuntu" w:hAnsi="Ubuntu" w:cs="Ubuntu" w:eastAsiaTheme="minorEastAsia"/>
          <w:position w:val="-2"/>
          <w:sz w:val="23"/>
        </w:rPr>
        <w:t>W←I</w:t>
      </w:r>
    </w:p>
    <w:p w14:paraId="793356BD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fusion再使用固定外参得到车体位姿：</w:t>
      </w:r>
    </w:p>
    <w:p w14:paraId="23D1EA75">
      <w:pPr>
        <w:pStyle w:val="4"/>
        <w:bidi w:val="0"/>
        <w:jc w:val="center"/>
        <w:rPr>
          <w:rFonts w:hint="default" w:ascii="Ubuntu" w:hAnsi="Ubuntu" w:cs="Ubuntu" w:eastAsiaTheme="minorEastAsia"/>
          <w:sz w:val="23"/>
        </w:rPr>
      </w:pPr>
      <w:r>
        <w:rPr>
          <w:rFonts w:hint="default" w:ascii="Ubuntu" w:hAnsi="Ubuntu" w:cs="Ubuntu" w:eastAsiaTheme="minorEastAsia"/>
          <w:sz w:val="23"/>
        </w:rPr>
        <w:t>T</w:t>
      </w:r>
      <w:r>
        <w:rPr>
          <w:rFonts w:hint="default" w:ascii="Ubuntu" w:hAnsi="Ubuntu" w:cs="Ubuntu" w:eastAsiaTheme="minorEastAsia"/>
          <w:position w:val="-2"/>
          <w:sz w:val="23"/>
        </w:rPr>
        <w:t>H←B</w:t>
      </w:r>
      <w:r>
        <w:rPr>
          <w:rFonts w:hint="default" w:ascii="Ubuntu" w:hAnsi="Ubuntu" w:cs="Ubuntu" w:eastAsiaTheme="minorEastAsia"/>
          <w:sz w:val="23"/>
        </w:rPr>
        <w:t xml:space="preserve"> = T</w:t>
      </w:r>
      <w:r>
        <w:rPr>
          <w:rFonts w:hint="default" w:ascii="Ubuntu" w:hAnsi="Ubuntu" w:cs="Ubuntu" w:eastAsiaTheme="minorEastAsia"/>
          <w:position w:val="-2"/>
          <w:sz w:val="23"/>
        </w:rPr>
        <w:t>H←I</w:t>
      </w:r>
      <w:r>
        <w:rPr>
          <w:rFonts w:hint="default" w:ascii="Ubuntu" w:hAnsi="Ubuntu" w:cs="Ubuntu" w:eastAsiaTheme="minorEastAsia"/>
          <w:sz w:val="23"/>
        </w:rPr>
        <w:t>T</w:t>
      </w:r>
      <w:r>
        <w:rPr>
          <w:rFonts w:hint="default" w:ascii="Ubuntu" w:hAnsi="Ubuntu" w:cs="Ubuntu" w:eastAsiaTheme="minorEastAsia"/>
          <w:position w:val="-2"/>
          <w:sz w:val="23"/>
        </w:rPr>
        <w:t>I←B</w:t>
      </w:r>
    </w:p>
    <w:p w14:paraId="713E8039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最终在线估计：</w:t>
      </w:r>
    </w:p>
    <w:p w14:paraId="1780B460">
      <w:pPr>
        <w:pStyle w:val="4"/>
        <w:bidi w:val="0"/>
        <w:jc w:val="center"/>
        <w:rPr>
          <w:rFonts w:hint="default" w:ascii="Ubuntu" w:hAnsi="Ubuntu" w:cs="Ubuntu" w:eastAsiaTheme="minorEastAsia"/>
          <w:sz w:val="23"/>
        </w:rPr>
      </w:pPr>
      <w:r>
        <w:rPr>
          <w:rFonts w:hint="default" w:ascii="Ubuntu" w:hAnsi="Ubuntu" w:cs="Ubuntu" w:eastAsiaTheme="minorEastAsia"/>
          <w:sz w:val="23"/>
        </w:rPr>
        <w:t>T</w:t>
      </w:r>
      <w:r>
        <w:rPr>
          <w:rFonts w:hint="default" w:ascii="Ubuntu" w:hAnsi="Ubuntu" w:cs="Ubuntu" w:eastAsiaTheme="minorEastAsia"/>
          <w:position w:val="-2"/>
          <w:sz w:val="23"/>
        </w:rPr>
        <w:t>E←H</w:t>
      </w:r>
      <w:r>
        <w:rPr>
          <w:rFonts w:hint="default" w:ascii="Ubuntu" w:hAnsi="Ubuntu" w:cs="Ubuntu" w:eastAsiaTheme="minorEastAsia"/>
          <w:position w:val="8"/>
          <w:sz w:val="23"/>
        </w:rPr>
        <w:t>4D</w:t>
      </w:r>
      <w:r>
        <w:rPr>
          <w:rFonts w:hint="default" w:ascii="Ubuntu" w:hAnsi="Ubuntu" w:cs="Ubuntu" w:eastAsiaTheme="minorEastAsia"/>
          <w:sz w:val="23"/>
        </w:rPr>
        <w:t xml:space="preserve"> = {R</w:t>
      </w:r>
      <w:r>
        <w:rPr>
          <w:rFonts w:hint="default" w:ascii="Ubuntu" w:hAnsi="Ubuntu" w:cs="Ubuntu" w:eastAsiaTheme="minorEastAsia"/>
          <w:position w:val="-2"/>
          <w:sz w:val="23"/>
        </w:rPr>
        <w:t>z</w:t>
      </w:r>
      <w:r>
        <w:rPr>
          <w:rFonts w:hint="default" w:ascii="Ubuntu" w:hAnsi="Ubuntu" w:cs="Ubuntu" w:eastAsiaTheme="minorEastAsia"/>
          <w:sz w:val="23"/>
        </w:rPr>
        <w:t>(θ), [t</w:t>
      </w:r>
      <w:r>
        <w:rPr>
          <w:rFonts w:hint="default" w:ascii="Ubuntu" w:hAnsi="Ubuntu" w:cs="Ubuntu" w:eastAsiaTheme="minorEastAsia"/>
          <w:position w:val="-2"/>
          <w:sz w:val="23"/>
        </w:rPr>
        <w:t>x</w:t>
      </w:r>
      <w:r>
        <w:rPr>
          <w:rFonts w:hint="default" w:ascii="Ubuntu" w:hAnsi="Ubuntu" w:cs="Ubuntu" w:eastAsiaTheme="minorEastAsia"/>
          <w:sz w:val="23"/>
        </w:rPr>
        <w:t>,t</w:t>
      </w:r>
      <w:r>
        <w:rPr>
          <w:rFonts w:hint="default" w:ascii="Ubuntu" w:hAnsi="Ubuntu" w:cs="Ubuntu" w:eastAsiaTheme="minorEastAsia"/>
          <w:position w:val="-2"/>
          <w:sz w:val="23"/>
        </w:rPr>
        <w:t>y</w:t>
      </w:r>
      <w:r>
        <w:rPr>
          <w:rFonts w:hint="default" w:ascii="Ubuntu" w:hAnsi="Ubuntu" w:cs="Ubuntu" w:eastAsiaTheme="minorEastAsia"/>
          <w:sz w:val="23"/>
        </w:rPr>
        <w:t>,t</w:t>
      </w:r>
      <w:r>
        <w:rPr>
          <w:rFonts w:hint="default" w:ascii="Ubuntu" w:hAnsi="Ubuntu" w:cs="Ubuntu" w:eastAsiaTheme="minorEastAsia"/>
          <w:position w:val="-2"/>
          <w:sz w:val="23"/>
        </w:rPr>
        <w:t>z</w:t>
      </w:r>
      <w:r>
        <w:rPr>
          <w:rFonts w:hint="default" w:ascii="Ubuntu" w:hAnsi="Ubuntu" w:cs="Ubuntu" w:eastAsiaTheme="minorEastAsia"/>
          <w:sz w:val="23"/>
        </w:rPr>
        <w:t>]</w:t>
      </w:r>
      <w:r>
        <w:rPr>
          <w:rFonts w:hint="default" w:ascii="Ubuntu" w:hAnsi="Ubuntu" w:cs="Ubuntu" w:eastAsiaTheme="minorEastAsia"/>
          <w:position w:val="8"/>
          <w:sz w:val="23"/>
        </w:rPr>
        <w:t>T</w:t>
      </w:r>
      <w:r>
        <w:rPr>
          <w:rFonts w:hint="default" w:ascii="Ubuntu" w:hAnsi="Ubuntu" w:cs="Ubuntu" w:eastAsiaTheme="minorEastAsia"/>
          <w:sz w:val="23"/>
        </w:rPr>
        <w:t>}</w:t>
      </w:r>
    </w:p>
    <w:p w14:paraId="13DF02A9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最终位置：</w:t>
      </w:r>
    </w:p>
    <w:p w14:paraId="060808FE">
      <w:pPr>
        <w:pStyle w:val="4"/>
        <w:bidi w:val="0"/>
        <w:jc w:val="center"/>
        <w:rPr>
          <w:rFonts w:hint="default" w:ascii="Ubuntu" w:hAnsi="Ubuntu" w:cs="Ubuntu" w:eastAsiaTheme="minorEastAsia"/>
          <w:sz w:val="23"/>
        </w:rPr>
      </w:pPr>
      <w:r>
        <w:rPr>
          <w:rFonts w:hint="default" w:ascii="Ubuntu" w:hAnsi="Ubuntu" w:cs="Ubuntu" w:eastAsiaTheme="minorEastAsia"/>
          <w:sz w:val="23"/>
        </w:rPr>
        <w:t>p</w:t>
      </w:r>
      <w:r>
        <w:rPr>
          <w:rFonts w:hint="default" w:ascii="Ubuntu" w:hAnsi="Ubuntu" w:cs="Ubuntu" w:eastAsiaTheme="minorEastAsia"/>
          <w:position w:val="-2"/>
          <w:sz w:val="23"/>
        </w:rPr>
        <w:t>E</w:t>
      </w:r>
      <w:r>
        <w:rPr>
          <w:rFonts w:hint="default" w:ascii="Ubuntu" w:hAnsi="Ubuntu" w:cs="Ubuntu" w:eastAsiaTheme="minorEastAsia"/>
          <w:position w:val="8"/>
          <w:sz w:val="23"/>
        </w:rPr>
        <w:t>B</w:t>
      </w:r>
      <w:r>
        <w:rPr>
          <w:rFonts w:hint="default" w:ascii="Ubuntu" w:hAnsi="Ubuntu" w:cs="Ubuntu" w:eastAsiaTheme="minorEastAsia"/>
          <w:sz w:val="23"/>
        </w:rPr>
        <w:t xml:space="preserve"> = R</w:t>
      </w:r>
      <w:r>
        <w:rPr>
          <w:rFonts w:hint="default" w:ascii="Ubuntu" w:hAnsi="Ubuntu" w:cs="Ubuntu" w:eastAsiaTheme="minorEastAsia"/>
          <w:position w:val="-2"/>
          <w:sz w:val="23"/>
        </w:rPr>
        <w:t>z</w:t>
      </w:r>
      <w:r>
        <w:rPr>
          <w:rFonts w:hint="default" w:ascii="Ubuntu" w:hAnsi="Ubuntu" w:cs="Ubuntu" w:eastAsiaTheme="minorEastAsia"/>
          <w:sz w:val="23"/>
        </w:rPr>
        <w:t>(θ)p</w:t>
      </w:r>
      <w:r>
        <w:rPr>
          <w:rFonts w:hint="default" w:ascii="Ubuntu" w:hAnsi="Ubuntu" w:cs="Ubuntu" w:eastAsiaTheme="minorEastAsia"/>
          <w:position w:val="-2"/>
          <w:sz w:val="23"/>
        </w:rPr>
        <w:t>H</w:t>
      </w:r>
      <w:r>
        <w:rPr>
          <w:rFonts w:hint="default" w:ascii="Ubuntu" w:hAnsi="Ubuntu" w:cs="Ubuntu" w:eastAsiaTheme="minorEastAsia"/>
          <w:position w:val="8"/>
          <w:sz w:val="23"/>
        </w:rPr>
        <w:t>B</w:t>
      </w:r>
      <w:r>
        <w:rPr>
          <w:rFonts w:hint="default" w:ascii="Ubuntu" w:hAnsi="Ubuntu" w:cs="Ubuntu" w:eastAsiaTheme="minorEastAsia"/>
          <w:sz w:val="23"/>
        </w:rPr>
        <w:t xml:space="preserve"> + t</w:t>
      </w:r>
    </w:p>
    <w:p w14:paraId="2CF5F23B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最终LIO回退yaw：</w:t>
      </w:r>
    </w:p>
    <w:p w14:paraId="412FA362">
      <w:pPr>
        <w:pStyle w:val="4"/>
        <w:bidi w:val="0"/>
        <w:jc w:val="center"/>
        <w:rPr>
          <w:rFonts w:hint="default" w:ascii="Ubuntu" w:hAnsi="Ubuntu" w:cs="Ubuntu" w:eastAsiaTheme="minorEastAsia"/>
          <w:sz w:val="23"/>
        </w:rPr>
      </w:pPr>
      <w:r>
        <w:rPr>
          <w:rFonts w:hint="default" w:ascii="Ubuntu" w:hAnsi="Ubuntu" w:cs="Ubuntu" w:eastAsiaTheme="minorEastAsia"/>
          <w:sz w:val="23"/>
        </w:rPr>
        <w:t>ψ</w:t>
      </w:r>
      <w:r>
        <w:rPr>
          <w:rFonts w:hint="default" w:ascii="Ubuntu" w:hAnsi="Ubuntu" w:cs="Ubuntu" w:eastAsiaTheme="minorEastAsia"/>
          <w:position w:val="-2"/>
          <w:sz w:val="23"/>
        </w:rPr>
        <w:t>E</w:t>
      </w:r>
      <w:r>
        <w:rPr>
          <w:rFonts w:hint="default" w:ascii="Ubuntu" w:hAnsi="Ubuntu" w:cs="Ubuntu" w:eastAsiaTheme="minorEastAsia"/>
          <w:position w:val="8"/>
          <w:sz w:val="23"/>
        </w:rPr>
        <w:t>B</w:t>
      </w:r>
      <w:r>
        <w:rPr>
          <w:rFonts w:hint="default" w:ascii="Ubuntu" w:hAnsi="Ubuntu" w:cs="Ubuntu" w:eastAsiaTheme="minorEastAsia"/>
          <w:sz w:val="23"/>
        </w:rPr>
        <w:t xml:space="preserve"> = wrap(ψ</w:t>
      </w:r>
      <w:r>
        <w:rPr>
          <w:rFonts w:hint="default" w:ascii="Ubuntu" w:hAnsi="Ubuntu" w:cs="Ubuntu" w:eastAsiaTheme="minorEastAsia"/>
          <w:position w:val="-2"/>
          <w:sz w:val="23"/>
        </w:rPr>
        <w:t>H</w:t>
      </w:r>
      <w:r>
        <w:rPr>
          <w:rFonts w:hint="default" w:ascii="Ubuntu" w:hAnsi="Ubuntu" w:cs="Ubuntu" w:eastAsiaTheme="minorEastAsia"/>
          <w:position w:val="8"/>
          <w:sz w:val="23"/>
        </w:rPr>
        <w:t>B</w:t>
      </w:r>
      <w:r>
        <w:rPr>
          <w:rFonts w:hint="default" w:ascii="Ubuntu" w:hAnsi="Ubuntu" w:cs="Ubuntu" w:eastAsiaTheme="minorEastAsia"/>
          <w:sz w:val="23"/>
        </w:rPr>
        <w:t xml:space="preserve"> + θ)</w:t>
      </w:r>
    </w:p>
    <w:p w14:paraId="4ABA4847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3.3 刚体变换对距离的影响</w:t>
      </w:r>
    </w:p>
    <w:p w14:paraId="5754882F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三维刚体旋转和平移保持欧氏距离：</w:t>
      </w:r>
    </w:p>
    <w:p w14:paraId="21107EAD">
      <w:pPr>
        <w:pStyle w:val="4"/>
        <w:bidi w:val="0"/>
        <w:jc w:val="center"/>
        <w:rPr>
          <w:rFonts w:hint="default" w:ascii="Ubuntu" w:hAnsi="Ubuntu" w:cs="Ubuntu" w:eastAsiaTheme="minorEastAsia"/>
          <w:sz w:val="23"/>
        </w:rPr>
      </w:pPr>
      <w:r>
        <w:rPr>
          <w:rFonts w:hint="default" w:ascii="Ubuntu" w:hAnsi="Ubuntu" w:cs="Ubuntu" w:eastAsiaTheme="minorEastAsia"/>
          <w:sz w:val="23"/>
        </w:rPr>
        <w:t>||R(p</w:t>
      </w:r>
      <w:r>
        <w:rPr>
          <w:rFonts w:hint="default" w:ascii="Ubuntu" w:hAnsi="Ubuntu" w:cs="Ubuntu" w:eastAsiaTheme="minorEastAsia"/>
          <w:position w:val="-2"/>
          <w:sz w:val="23"/>
        </w:rPr>
        <w:t>2</w:t>
      </w:r>
      <w:r>
        <w:rPr>
          <w:rFonts w:hint="default" w:ascii="Ubuntu" w:hAnsi="Ubuntu" w:cs="Ubuntu" w:eastAsiaTheme="minorEastAsia"/>
          <w:sz w:val="23"/>
        </w:rPr>
        <w:t>-p</w:t>
      </w:r>
      <w:r>
        <w:rPr>
          <w:rFonts w:hint="default" w:ascii="Ubuntu" w:hAnsi="Ubuntu" w:cs="Ubuntu" w:eastAsiaTheme="minorEastAsia"/>
          <w:position w:val="-2"/>
          <w:sz w:val="23"/>
        </w:rPr>
        <w:t>1</w:t>
      </w:r>
      <w:r>
        <w:rPr>
          <w:rFonts w:hint="default" w:ascii="Ubuntu" w:hAnsi="Ubuntu" w:cs="Ubuntu" w:eastAsiaTheme="minorEastAsia"/>
          <w:sz w:val="23"/>
        </w:rPr>
        <w:t>)|| = ||p</w:t>
      </w:r>
      <w:r>
        <w:rPr>
          <w:rFonts w:hint="default" w:ascii="Ubuntu" w:hAnsi="Ubuntu" w:cs="Ubuntu" w:eastAsiaTheme="minorEastAsia"/>
          <w:position w:val="-2"/>
          <w:sz w:val="23"/>
        </w:rPr>
        <w:t>2</w:t>
      </w:r>
      <w:r>
        <w:rPr>
          <w:rFonts w:hint="default" w:ascii="Ubuntu" w:hAnsi="Ubuntu" w:cs="Ubuntu" w:eastAsiaTheme="minorEastAsia"/>
          <w:sz w:val="23"/>
        </w:rPr>
        <w:t>-p</w:t>
      </w:r>
      <w:r>
        <w:rPr>
          <w:rFonts w:hint="default" w:ascii="Ubuntu" w:hAnsi="Ubuntu" w:cs="Ubuntu" w:eastAsiaTheme="minorEastAsia"/>
          <w:position w:val="-2"/>
          <w:sz w:val="23"/>
        </w:rPr>
        <w:t>1</w:t>
      </w:r>
      <w:r>
        <w:rPr>
          <w:rFonts w:hint="default" w:ascii="Ubuntu" w:hAnsi="Ubuntu" w:cs="Ubuntu" w:eastAsiaTheme="minorEastAsia"/>
          <w:sz w:val="23"/>
        </w:rPr>
        <w:t>||</w:t>
      </w:r>
    </w:p>
    <w:p w14:paraId="5A3DA177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因此，若比较的是同一物理点、同一时间区间、三维距离，单纯重力水平化和4DoF刚体对齐不应产生尺度变化。水平二维距离则可能变化，因为倾斜轨迹旋转到水平系后，z分量与xy投影重新分配。实测时必须同时计算：</w:t>
      </w:r>
    </w:p>
    <w:p w14:paraId="0D842AC5">
      <w:pPr>
        <w:pStyle w:val="4"/>
        <w:bidi w:val="0"/>
        <w:jc w:val="center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  <w:sz w:val="23"/>
        </w:rPr>
        <w:t>d</w:t>
      </w:r>
      <w:r>
        <w:rPr>
          <w:rFonts w:hint="default" w:ascii="Ubuntu" w:hAnsi="Ubuntu" w:cs="Ubuntu" w:eastAsiaTheme="minorEastAsia"/>
          <w:position w:val="-2"/>
          <w:sz w:val="23"/>
        </w:rPr>
        <w:t>xy</w:t>
      </w:r>
      <w:r>
        <w:rPr>
          <w:rFonts w:hint="default" w:ascii="Ubuntu" w:hAnsi="Ubuntu" w:cs="Ubuntu" w:eastAsiaTheme="minorEastAsia"/>
          <w:sz w:val="23"/>
        </w:rPr>
        <w:t xml:space="preserve"> = √(Δx²+Δy²)</w:t>
      </w:r>
      <w:r>
        <w:rPr>
          <w:rFonts w:hint="default" w:ascii="Ubuntu" w:hAnsi="Ubuntu" w:cs="Ubuntu" w:eastAsiaTheme="minorEastAsia"/>
          <w:sz w:val="23"/>
        </w:rPr>
        <w:t>，</w:t>
      </w:r>
      <w:r>
        <w:rPr>
          <w:rFonts w:hint="default" w:ascii="Ubuntu" w:hAnsi="Ubuntu" w:cs="Ubuntu" w:eastAsiaTheme="minorEastAsia"/>
          <w:sz w:val="23"/>
        </w:rPr>
        <w:t>d</w:t>
      </w:r>
      <w:r>
        <w:rPr>
          <w:rFonts w:hint="default" w:ascii="Ubuntu" w:hAnsi="Ubuntu" w:cs="Ubuntu" w:eastAsiaTheme="minorEastAsia"/>
          <w:position w:val="-2"/>
          <w:sz w:val="23"/>
        </w:rPr>
        <w:t>3D</w:t>
      </w:r>
      <w:r>
        <w:rPr>
          <w:rFonts w:hint="default" w:ascii="Ubuntu" w:hAnsi="Ubuntu" w:cs="Ubuntu" w:eastAsiaTheme="minorEastAsia"/>
          <w:sz w:val="23"/>
        </w:rPr>
        <w:t xml:space="preserve"> = √(Δx²+Δy²+Δz²)</w:t>
      </w:r>
    </w:p>
    <w:p w14:paraId="5483B9A8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3.4 输出frame_id的兼容约定</w:t>
      </w:r>
    </w:p>
    <w:p w14:paraId="5D8F0F50">
      <w:pPr>
        <w:pStyle w:val="4"/>
        <w:bidi w:val="0"/>
        <w:spacing w:before="150" w:after="150"/>
        <w:ind w:left="150" w:right="150" w:firstLine="0"/>
        <w:rPr>
          <w:rFonts w:hint="default" w:ascii="Ubuntu" w:hAnsi="Ubuntu" w:cs="Ubuntu" w:eastAsiaTheme="minorEastAsia"/>
          <w:bdr w:val="single" w:color="BF9000" w:sz="30" w:space="0"/>
          <w:shd w:val="clear" w:fill="FFF2CC"/>
        </w:rPr>
      </w:pPr>
      <w:r>
        <w:rPr>
          <w:rFonts w:hint="default" w:ascii="Ubuntu" w:hAnsi="Ubuntu" w:cs="Ubuntu" w:eastAsiaTheme="minorEastAsia"/>
          <w:bdr w:val="single" w:color="BF9000" w:sz="30" w:space="0"/>
          <w:shd w:val="clear" w:fill="FFF2CC"/>
        </w:rPr>
        <w:t>当前/Mower/position.header.frame_id保持“base_link”，这是既有下游接口要求；但数值的数学语义是“base_link在地图ENU中的位姿”。按照标准ROS语义，表达坐标系通常应写map。移植和二次开发时必须在接口文档中注明，不能仅凭header.frame_id把数值解释为车体系坐标。</w:t>
      </w:r>
    </w:p>
    <w:p w14:paraId="54A40BD3">
      <w:pPr>
        <w:pStyle w:val="2"/>
        <w:bidi w:val="0"/>
        <w:ind w:left="150" w:right="150" w:firstLine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第四章 FAST-LIO静态初始化与重力水平化</w:t>
      </w:r>
    </w:p>
    <w:p w14:paraId="72A6B1FB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4.1 FAST-LIO被修改的范围</w:t>
      </w:r>
    </w:p>
    <w:p w14:paraId="63BC02EC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与工作区fast-lio_old对比，当前版本至少在IMU_Processing.hpp、laserMapping.cpp、mid360_config.yaml和CMakeLists.txt中存在实质修改，并新增imu_static_detector.h、gravity_leveling.h及对应测试。修改分为两层：</w:t>
      </w:r>
    </w:p>
    <w:p w14:paraId="60610A21">
      <w:pPr>
        <w:pStyle w:val="4"/>
        <w:numPr>
          <w:ilvl w:val="0"/>
          <w:numId w:val="5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  <w:b/>
        </w:rPr>
        <w:t>算法行为修改：</w:t>
      </w:r>
      <w:r>
        <w:rPr>
          <w:rFonts w:hint="default" w:ascii="Ubuntu" w:hAnsi="Ubuntu" w:cs="Ubuntu" w:eastAsiaTheme="minorEastAsia"/>
        </w:rPr>
        <w:t xml:space="preserve">FAST-LIO启动必须先通过连续静态质量门控；重力和陀螺零偏来自通过门控的窗口统计。 </w:t>
      </w:r>
    </w:p>
    <w:p w14:paraId="4F567CA9">
      <w:pPr>
        <w:pStyle w:val="4"/>
        <w:numPr>
          <w:ilvl w:val="0"/>
          <w:numId w:val="5"/>
        </w:numPr>
        <w:tabs>
          <w:tab w:val="left" w:pos="799"/>
        </w:tabs>
        <w:bidi w:val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  <w:b/>
        </w:rPr>
        <w:t>输出链修改：</w:t>
      </w:r>
      <w:r>
        <w:rPr>
          <w:rFonts w:hint="default" w:ascii="Ubuntu" w:hAnsi="Ubuntu" w:cs="Ubuntu" w:eastAsiaTheme="minorEastAsia"/>
        </w:rPr>
        <w:t xml:space="preserve">保留原始W系估计，同时额外发布H系位姿、水平化旋转和本进程代际标识。 </w:t>
      </w:r>
    </w:p>
    <w:p w14:paraId="01646B1D">
      <w:pPr>
        <w:pStyle w:val="4"/>
        <w:bidi w:val="0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初始化完成后的点云匹配、ESKF主传播/更新、ikd-tree地图主体没有被替换为新的定位算法。H系旋转不反馈进FAST-LIO内部W系状态。</w:t>
      </w:r>
    </w:p>
    <w:p w14:paraId="212F489B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4.2 静态初始化数据来源</w:t>
      </w:r>
    </w:p>
    <w:p w14:paraId="607C401A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FAST-LIO静态初始化只使用/livox/imu，不使用UM981组合导航的DRPVAA或IMUATTA。这样可以保证初始化数据与FAST-LIO点云去畸变、时间戳和内部IMU模型一致。</w:t>
      </w:r>
    </w:p>
    <w:p w14:paraId="5A3A8C46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4.3 当前硬门限</w:t>
      </w:r>
    </w:p>
    <w:tbl>
      <w:tblPr>
        <w:tblStyle w:val="13"/>
        <w:tblW w:w="9360" w:type="dxa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71"/>
        <w:gridCol w:w="1833"/>
        <w:gridCol w:w="3356"/>
      </w:tblGrid>
      <w:tr w14:paraId="0071EF3D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4171" w:type="dxa"/>
            <w:vAlign w:val="center"/>
          </w:tcPr>
          <w:p w14:paraId="0249827E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参数</w:t>
            </w:r>
          </w:p>
        </w:tc>
        <w:tc>
          <w:tcPr>
            <w:tcW w:w="1833" w:type="dxa"/>
            <w:vAlign w:val="center"/>
          </w:tcPr>
          <w:p w14:paraId="415D3DF4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当前值</w:t>
            </w:r>
          </w:p>
        </w:tc>
        <w:tc>
          <w:tcPr>
            <w:tcW w:w="3356" w:type="dxa"/>
            <w:vAlign w:val="center"/>
          </w:tcPr>
          <w:p w14:paraId="38374252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意义</w:t>
            </w:r>
          </w:p>
        </w:tc>
      </w:tr>
      <w:tr w14:paraId="254092B5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4171" w:type="dxa"/>
            <w:vAlign w:val="center"/>
          </w:tcPr>
          <w:p w14:paraId="06F14F11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imu_init_static_duration</w:t>
            </w:r>
          </w:p>
        </w:tc>
        <w:tc>
          <w:tcPr>
            <w:tcW w:w="1833" w:type="dxa"/>
            <w:vAlign w:val="center"/>
          </w:tcPr>
          <w:p w14:paraId="3828A77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2.0 s</w:t>
            </w:r>
          </w:p>
        </w:tc>
        <w:tc>
          <w:tcPr>
            <w:tcW w:w="3356" w:type="dxa"/>
            <w:vAlign w:val="center"/>
          </w:tcPr>
          <w:p w14:paraId="67C8CF2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连续静态确认时间</w:t>
            </w:r>
          </w:p>
        </w:tc>
      </w:tr>
      <w:tr w14:paraId="3E14FFDB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4171" w:type="dxa"/>
            <w:vAlign w:val="center"/>
          </w:tcPr>
          <w:p w14:paraId="30C9D1E6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imu_init_max_gyro_mean_norm</w:t>
            </w:r>
          </w:p>
        </w:tc>
        <w:tc>
          <w:tcPr>
            <w:tcW w:w="1833" w:type="dxa"/>
            <w:vAlign w:val="center"/>
          </w:tcPr>
          <w:p w14:paraId="78102F4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0.05 rad/s</w:t>
            </w:r>
          </w:p>
        </w:tc>
        <w:tc>
          <w:tcPr>
            <w:tcW w:w="3356" w:type="dxa"/>
            <w:vAlign w:val="center"/>
          </w:tcPr>
          <w:p w14:paraId="5E30D483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完整窗口陀螺均值模长上限</w:t>
            </w:r>
          </w:p>
        </w:tc>
      </w:tr>
      <w:tr w14:paraId="37A162B9">
        <w:tc>
          <w:tcPr>
            <w:tcW w:w="4171" w:type="dxa"/>
            <w:vAlign w:val="center"/>
          </w:tcPr>
          <w:p w14:paraId="2DEF9994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imu_init_max_gyro_norm</w:t>
            </w:r>
          </w:p>
        </w:tc>
        <w:tc>
          <w:tcPr>
            <w:tcW w:w="1833" w:type="dxa"/>
            <w:vAlign w:val="center"/>
          </w:tcPr>
          <w:p w14:paraId="6B4D403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0.10 rad/s</w:t>
            </w:r>
          </w:p>
        </w:tc>
        <w:tc>
          <w:tcPr>
            <w:tcW w:w="3356" w:type="dxa"/>
            <w:vAlign w:val="center"/>
          </w:tcPr>
          <w:p w14:paraId="1E8B294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任一样本陀螺模长上限</w:t>
            </w:r>
          </w:p>
        </w:tc>
      </w:tr>
      <w:tr w14:paraId="6B45E2F4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4171" w:type="dxa"/>
            <w:vAlign w:val="center"/>
          </w:tcPr>
          <w:p w14:paraId="0A5A6A43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imu_init_min_acc_norm</w:t>
            </w:r>
          </w:p>
        </w:tc>
        <w:tc>
          <w:tcPr>
            <w:tcW w:w="1833" w:type="dxa"/>
            <w:vAlign w:val="center"/>
          </w:tcPr>
          <w:p w14:paraId="5160398C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8.0 m/s²</w:t>
            </w:r>
          </w:p>
        </w:tc>
        <w:tc>
          <w:tcPr>
            <w:tcW w:w="3356" w:type="dxa"/>
            <w:vAlign w:val="center"/>
          </w:tcPr>
          <w:p w14:paraId="003FA47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任一样本加速度模长下限</w:t>
            </w:r>
          </w:p>
        </w:tc>
      </w:tr>
      <w:tr w14:paraId="1C7BE2EB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4171" w:type="dxa"/>
            <w:vAlign w:val="center"/>
          </w:tcPr>
          <w:p w14:paraId="64145909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imu_init_max_acc_norm</w:t>
            </w:r>
          </w:p>
        </w:tc>
        <w:tc>
          <w:tcPr>
            <w:tcW w:w="1833" w:type="dxa"/>
            <w:vAlign w:val="center"/>
          </w:tcPr>
          <w:p w14:paraId="02A42B48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11.5 m/s²</w:t>
            </w:r>
          </w:p>
        </w:tc>
        <w:tc>
          <w:tcPr>
            <w:tcW w:w="3356" w:type="dxa"/>
            <w:vAlign w:val="center"/>
          </w:tcPr>
          <w:p w14:paraId="3735CB6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任一样本加速度模长上限</w:t>
            </w:r>
          </w:p>
        </w:tc>
      </w:tr>
      <w:tr w14:paraId="6991D03F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4171" w:type="dxa"/>
            <w:vAlign w:val="center"/>
          </w:tcPr>
          <w:p w14:paraId="07B8104F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imu_init_max_acc_variance</w:t>
            </w:r>
          </w:p>
        </w:tc>
        <w:tc>
          <w:tcPr>
            <w:tcW w:w="1833" w:type="dxa"/>
            <w:vAlign w:val="center"/>
          </w:tcPr>
          <w:p w14:paraId="41D5A09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0.10 (m/s²)²</w:t>
            </w:r>
          </w:p>
        </w:tc>
        <w:tc>
          <w:tcPr>
            <w:tcW w:w="3356" w:type="dxa"/>
            <w:vAlign w:val="center"/>
          </w:tcPr>
          <w:p w14:paraId="0903181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每轴总体方差上限</w:t>
            </w:r>
          </w:p>
        </w:tc>
      </w:tr>
      <w:tr w14:paraId="72680791">
        <w:tc>
          <w:tcPr>
            <w:tcW w:w="4171" w:type="dxa"/>
            <w:vAlign w:val="center"/>
          </w:tcPr>
          <w:p w14:paraId="231722E5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imu_init_max_sample_gap</w:t>
            </w:r>
          </w:p>
        </w:tc>
        <w:tc>
          <w:tcPr>
            <w:tcW w:w="1833" w:type="dxa"/>
            <w:vAlign w:val="center"/>
          </w:tcPr>
          <w:p w14:paraId="054E2EB2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0.10 s</w:t>
            </w:r>
          </w:p>
        </w:tc>
        <w:tc>
          <w:tcPr>
            <w:tcW w:w="3356" w:type="dxa"/>
            <w:vAlign w:val="center"/>
          </w:tcPr>
          <w:p w14:paraId="4F443676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相邻IMU最大允许间隔</w:t>
            </w:r>
          </w:p>
        </w:tc>
      </w:tr>
      <w:tr w14:paraId="52E1957B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4171" w:type="dxa"/>
            <w:vAlign w:val="center"/>
          </w:tcPr>
          <w:p w14:paraId="6C4C730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imu_init_min_samples</w:t>
            </w:r>
          </w:p>
        </w:tc>
        <w:tc>
          <w:tcPr>
            <w:tcW w:w="1833" w:type="dxa"/>
            <w:vAlign w:val="center"/>
          </w:tcPr>
          <w:p w14:paraId="100B0A5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50</w:t>
            </w:r>
          </w:p>
        </w:tc>
        <w:tc>
          <w:tcPr>
            <w:tcW w:w="3356" w:type="dxa"/>
            <w:vAlign w:val="center"/>
          </w:tcPr>
          <w:p w14:paraId="337CB362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最低样本数</w:t>
            </w:r>
          </w:p>
        </w:tc>
      </w:tr>
    </w:tbl>
    <w:p w14:paraId="735EED07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4.4 窗口确认逻辑</w:t>
      </w:r>
    </w:p>
    <w:p w14:paraId="49B91D62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每个IMU样本依次检查有限性、时间连续性、陀螺最大值和加速度模长。任一样本失败，整个窗口清空并重新开始2秒计时。窗口达到2秒且样本数达到50后，再检查陀螺均值和加速度方差。只有全部通过才确认初始化。</w:t>
      </w:r>
    </w:p>
    <w:p w14:paraId="1780BF84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通过后计算：</w:t>
      </w:r>
    </w:p>
    <w:p w14:paraId="03EAE12C">
      <w:pPr>
        <w:pStyle w:val="4"/>
        <w:bidi w:val="0"/>
        <w:jc w:val="center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  <w:sz w:val="23"/>
        </w:rPr>
        <w:t>g</w:t>
      </w:r>
      <w:r>
        <w:rPr>
          <w:rFonts w:hint="default" w:ascii="Ubuntu" w:hAnsi="Ubuntu" w:cs="Ubuntu" w:eastAsiaTheme="minorEastAsia"/>
          <w:position w:val="-2"/>
          <w:sz w:val="23"/>
        </w:rPr>
        <w:t>W</w:t>
      </w:r>
      <w:r>
        <w:rPr>
          <w:rFonts w:hint="default" w:ascii="Ubuntu" w:hAnsi="Ubuntu" w:cs="Ubuntu" w:eastAsiaTheme="minorEastAsia"/>
          <w:sz w:val="23"/>
        </w:rPr>
        <w:t xml:space="preserve"> = -(ā/||ā||)g</w:t>
      </w:r>
      <w:r>
        <w:rPr>
          <w:rFonts w:hint="default" w:ascii="Ubuntu" w:hAnsi="Ubuntu" w:cs="Ubuntu" w:eastAsiaTheme="minorEastAsia"/>
          <w:sz w:val="23"/>
        </w:rPr>
        <w:t>，</w:t>
      </w:r>
      <w:r>
        <w:rPr>
          <w:rFonts w:hint="default" w:ascii="Ubuntu" w:hAnsi="Ubuntu" w:cs="Ubuntu" w:eastAsiaTheme="minorEastAsia"/>
          <w:sz w:val="23"/>
        </w:rPr>
        <w:t>b</w:t>
      </w:r>
      <w:r>
        <w:rPr>
          <w:rFonts w:hint="default" w:ascii="Ubuntu" w:hAnsi="Ubuntu" w:cs="Ubuntu" w:eastAsiaTheme="minorEastAsia"/>
          <w:position w:val="-2"/>
          <w:sz w:val="23"/>
        </w:rPr>
        <w:t>g</w:t>
      </w:r>
      <w:r>
        <w:rPr>
          <w:rFonts w:hint="default" w:ascii="Ubuntu" w:hAnsi="Ubuntu" w:cs="Ubuntu" w:eastAsiaTheme="minorEastAsia"/>
          <w:sz w:val="23"/>
        </w:rPr>
        <w:t xml:space="preserve"> = ω̄</w:t>
      </w:r>
    </w:p>
    <w:p w14:paraId="7BED0C3D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其中ā为窗口平均加速度，ω̄为窗口平均角速度。理论最短初始化时间是2秒，实际可能更长；只要车辆振动、移动、时间戳跳变或数据断流，就会重新累计。</w:t>
      </w:r>
    </w:p>
    <w:p w14:paraId="2F0D4C16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4.5 初始化未完成时的行为</w:t>
      </w:r>
    </w:p>
    <w:p w14:paraId="2744D5C9">
      <w:pPr>
        <w:pStyle w:val="4"/>
        <w:numPr>
          <w:ilvl w:val="0"/>
          <w:numId w:val="6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FAST-LIO不进入正常点云去畸变和LIO更新。 </w:t>
      </w:r>
    </w:p>
    <w:p w14:paraId="163B671D">
      <w:pPr>
        <w:pStyle w:val="4"/>
        <w:numPr>
          <w:ilvl w:val="0"/>
          <w:numId w:val="6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/Mower/lio_static_initialized发布false，且为latched话题。 </w:t>
      </w:r>
    </w:p>
    <w:p w14:paraId="08140B00">
      <w:pPr>
        <w:pStyle w:val="4"/>
        <w:numPr>
          <w:ilvl w:val="0"/>
          <w:numId w:val="6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/Mower/lio_slam_level只允许发布lio_state=false的无效占位消息。 </w:t>
      </w:r>
    </w:p>
    <w:p w14:paraId="777EEC33">
      <w:pPr>
        <w:pStyle w:val="4"/>
        <w:numPr>
          <w:ilvl w:val="0"/>
          <w:numId w:val="6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fusion拒绝正常LIO/GPS融合回调。 </w:t>
      </w:r>
    </w:p>
    <w:p w14:paraId="673C86F7">
      <w:pPr>
        <w:pStyle w:val="4"/>
        <w:numPr>
          <w:ilvl w:val="0"/>
          <w:numId w:val="6"/>
        </w:numPr>
        <w:tabs>
          <w:tab w:val="left" w:pos="799"/>
        </w:tabs>
        <w:bidi w:val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android_manager_4dof锁存发布/mower/stop_car=true。 </w:t>
      </w:r>
    </w:p>
    <w:p w14:paraId="691CE36B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4.6 重力水平化</w:t>
      </w:r>
    </w:p>
    <w:p w14:paraId="47D056CC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静态初始化后，laserMapping读取FAST-LIO状态中的重力向量，计算把“W系向下方向”旋转到H系[0,0,-1]的最小角旋转。由于重力不提供yaw，该旋转只负责扶正roll/pitch方向，剩余yaw由后续H到ENU的4DoF估计。</w:t>
      </w:r>
    </w:p>
    <w:p w14:paraId="6DB89CB7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R</w:t>
      </w:r>
      <w:r>
        <w:rPr>
          <w:rFonts w:hint="default" w:ascii="Ubuntu" w:hAnsi="Ubuntu" w:cs="Ubuntu" w:eastAsiaTheme="minorEastAsia"/>
          <w:position w:val="-2"/>
          <w:sz w:val="17"/>
        </w:rPr>
        <w:t>H←W</w:t>
      </w:r>
      <w:r>
        <w:rPr>
          <w:rFonts w:hint="default" w:ascii="Ubuntu" w:hAnsi="Ubuntu" w:cs="Ubuntu" w:eastAsiaTheme="minorEastAsia"/>
        </w:rPr>
        <w:t>在当前/laserMapping进程生命周期只计算一次并冻结，同时发布：</w:t>
      </w:r>
    </w:p>
    <w:p w14:paraId="6CCAC067">
      <w:pPr>
        <w:pStyle w:val="4"/>
        <w:numPr>
          <w:ilvl w:val="0"/>
          <w:numId w:val="7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/Mower/lio_level_transform：旋转部分记录R</w:t>
      </w:r>
      <w:r>
        <w:rPr>
          <w:rFonts w:hint="default" w:ascii="Ubuntu" w:hAnsi="Ubuntu" w:cs="Ubuntu" w:eastAsiaTheme="minorEastAsia"/>
          <w:position w:val="-2"/>
          <w:sz w:val="17"/>
        </w:rPr>
        <w:t>H←W</w:t>
      </w:r>
      <w:r>
        <w:rPr>
          <w:rFonts w:hint="default" w:ascii="Ubuntu" w:hAnsi="Ubuntu" w:cs="Ubuntu" w:eastAsiaTheme="minorEastAsia"/>
        </w:rPr>
        <w:t xml:space="preserve">；header.stamp作为进程代际标识。 </w:t>
      </w:r>
    </w:p>
    <w:p w14:paraId="374ED183">
      <w:pPr>
        <w:pStyle w:val="4"/>
        <w:numPr>
          <w:ilvl w:val="0"/>
          <w:numId w:val="7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/Mower/lio_static_initialized=true。 </w:t>
      </w:r>
    </w:p>
    <w:p w14:paraId="6AFCA940">
      <w:pPr>
        <w:pStyle w:val="4"/>
        <w:numPr>
          <w:ilvl w:val="0"/>
          <w:numId w:val="7"/>
        </w:numPr>
        <w:tabs>
          <w:tab w:val="left" w:pos="799"/>
        </w:tabs>
        <w:bidi w:val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/Mower/lio_slam_level：H系中的IMU位姿。 </w:t>
      </w:r>
    </w:p>
    <w:p w14:paraId="212FBD10">
      <w:pPr>
        <w:pStyle w:val="2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第五章 倾斜安装、轴变换和杆臂补偿</w:t>
      </w:r>
    </w:p>
    <w:p w14:paraId="2EB84642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5.1 倾斜安装为何会影响位置</w:t>
      </w:r>
    </w:p>
    <w:p w14:paraId="05541AE8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若LIO发布的是传感器原点，而车辆需要的是base_link控制点，那么二者之间存在固定杆臂t。车辆姿态变化时，杆臂在世界系中的投影会变化：</w:t>
      </w:r>
    </w:p>
    <w:p w14:paraId="6854CBA9">
      <w:pPr>
        <w:pStyle w:val="4"/>
        <w:bidi w:val="0"/>
        <w:jc w:val="center"/>
        <w:rPr>
          <w:rFonts w:hint="default" w:ascii="Ubuntu" w:hAnsi="Ubuntu" w:cs="Ubuntu" w:eastAsiaTheme="minorEastAsia"/>
          <w:sz w:val="23"/>
        </w:rPr>
      </w:pPr>
      <w:r>
        <w:rPr>
          <w:rFonts w:hint="default" w:ascii="Ubuntu" w:hAnsi="Ubuntu" w:cs="Ubuntu" w:eastAsiaTheme="minorEastAsia"/>
          <w:sz w:val="23"/>
        </w:rPr>
        <w:t>p</w:t>
      </w:r>
      <w:r>
        <w:rPr>
          <w:rFonts w:hint="default" w:ascii="Ubuntu" w:hAnsi="Ubuntu" w:cs="Ubuntu" w:eastAsiaTheme="minorEastAsia"/>
          <w:position w:val="-2"/>
          <w:sz w:val="23"/>
        </w:rPr>
        <w:t>world</w:t>
      </w:r>
      <w:r>
        <w:rPr>
          <w:rFonts w:hint="default" w:ascii="Ubuntu" w:hAnsi="Ubuntu" w:cs="Ubuntu" w:eastAsiaTheme="minorEastAsia"/>
          <w:position w:val="8"/>
          <w:sz w:val="23"/>
        </w:rPr>
        <w:t>B</w:t>
      </w:r>
      <w:r>
        <w:rPr>
          <w:rFonts w:hint="default" w:ascii="Ubuntu" w:hAnsi="Ubuntu" w:cs="Ubuntu" w:eastAsiaTheme="minorEastAsia"/>
          <w:sz w:val="23"/>
        </w:rPr>
        <w:t xml:space="preserve"> = p</w:t>
      </w:r>
      <w:r>
        <w:rPr>
          <w:rFonts w:hint="default" w:ascii="Ubuntu" w:hAnsi="Ubuntu" w:cs="Ubuntu" w:eastAsiaTheme="minorEastAsia"/>
          <w:position w:val="-2"/>
          <w:sz w:val="23"/>
        </w:rPr>
        <w:t>world</w:t>
      </w:r>
      <w:r>
        <w:rPr>
          <w:rFonts w:hint="default" w:ascii="Ubuntu" w:hAnsi="Ubuntu" w:cs="Ubuntu" w:eastAsiaTheme="minorEastAsia"/>
          <w:position w:val="8"/>
          <w:sz w:val="23"/>
        </w:rPr>
        <w:t>I</w:t>
      </w:r>
      <w:r>
        <w:rPr>
          <w:rFonts w:hint="default" w:ascii="Ubuntu" w:hAnsi="Ubuntu" w:cs="Ubuntu" w:eastAsiaTheme="minorEastAsia"/>
          <w:sz w:val="23"/>
        </w:rPr>
        <w:t xml:space="preserve"> + R</w:t>
      </w:r>
      <w:r>
        <w:rPr>
          <w:rFonts w:hint="default" w:ascii="Ubuntu" w:hAnsi="Ubuntu" w:cs="Ubuntu" w:eastAsiaTheme="minorEastAsia"/>
          <w:position w:val="-2"/>
          <w:sz w:val="23"/>
        </w:rPr>
        <w:t>world←I</w:t>
      </w:r>
      <w:r>
        <w:rPr>
          <w:rFonts w:hint="default" w:ascii="Ubuntu" w:hAnsi="Ubuntu" w:cs="Ubuntu" w:eastAsiaTheme="minorEastAsia"/>
          <w:sz w:val="23"/>
        </w:rPr>
        <w:t>t</w:t>
      </w:r>
      <w:r>
        <w:rPr>
          <w:rFonts w:hint="default" w:ascii="Ubuntu" w:hAnsi="Ubuntu" w:cs="Ubuntu" w:eastAsiaTheme="minorEastAsia"/>
          <w:position w:val="-2"/>
          <w:sz w:val="23"/>
        </w:rPr>
        <w:t>I</w:t>
      </w:r>
      <w:r>
        <w:rPr>
          <w:rFonts w:hint="default" w:ascii="Ubuntu" w:hAnsi="Ubuntu" w:cs="Ubuntu" w:eastAsiaTheme="minorEastAsia"/>
          <w:position w:val="8"/>
          <w:sz w:val="23"/>
        </w:rPr>
        <w:t>B</w:t>
      </w:r>
    </w:p>
    <w:p w14:paraId="18CBA3C0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如果漏掉姿态相关的杆臂旋转，只做常量平移，车辆俯仰或转弯时就会产生与姿态相关的位置误差。雷达倾斜12°且前后杆臂接近0.9 m时，这种误差不可忽略。</w:t>
      </w:r>
    </w:p>
    <w:p w14:paraId="232EEBA9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5.2 当前两级外参</w:t>
      </w:r>
    </w:p>
    <w:tbl>
      <w:tblPr>
        <w:tblStyle w:val="13"/>
        <w:tblW w:w="9360" w:type="dxa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23"/>
        <w:gridCol w:w="2879"/>
        <w:gridCol w:w="4458"/>
      </w:tblGrid>
      <w:tr w14:paraId="06EFD2E6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023" w:type="dxa"/>
            <w:vAlign w:val="center"/>
          </w:tcPr>
          <w:p w14:paraId="69A02667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外参</w:t>
            </w:r>
          </w:p>
        </w:tc>
        <w:tc>
          <w:tcPr>
            <w:tcW w:w="2879" w:type="dxa"/>
            <w:vAlign w:val="center"/>
          </w:tcPr>
          <w:p w14:paraId="4BAF1EAD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所在文件</w:t>
            </w:r>
          </w:p>
        </w:tc>
        <w:tc>
          <w:tcPr>
            <w:tcW w:w="4458" w:type="dxa"/>
            <w:vAlign w:val="center"/>
          </w:tcPr>
          <w:p w14:paraId="20E87E64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当前用途</w:t>
            </w:r>
          </w:p>
        </w:tc>
      </w:tr>
      <w:tr w14:paraId="73A285BF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023" w:type="dxa"/>
            <w:vAlign w:val="center"/>
          </w:tcPr>
          <w:p w14:paraId="3860BCE9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LiDAR↔IMU</w:t>
            </w:r>
          </w:p>
        </w:tc>
        <w:tc>
          <w:tcPr>
            <w:tcW w:w="2879" w:type="dxa"/>
            <w:vAlign w:val="center"/>
          </w:tcPr>
          <w:p w14:paraId="34665B18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fast-lio/config/mid360_config.yaml</w:t>
            </w:r>
          </w:p>
        </w:tc>
        <w:tc>
          <w:tcPr>
            <w:tcW w:w="4458" w:type="dxa"/>
            <w:vAlign w:val="center"/>
          </w:tcPr>
          <w:p w14:paraId="62441D33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FAST-LIO内部点云与IMU状态关系；当前平移[-0.011,-0.02329,0.04412] m，旋转为单位阵</w:t>
            </w:r>
          </w:p>
        </w:tc>
      </w:tr>
      <w:tr w14:paraId="581DB6AF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023" w:type="dxa"/>
            <w:vAlign w:val="center"/>
          </w:tcPr>
          <w:p w14:paraId="75B89CC6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IMU/LIO↔base_link</w:t>
            </w:r>
          </w:p>
        </w:tc>
        <w:tc>
          <w:tcPr>
            <w:tcW w:w="2879" w:type="dxa"/>
            <w:vAlign w:val="center"/>
          </w:tcPr>
          <w:p w14:paraId="7168C0B6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fusion_4dof的create/location/fusion_only launch</w:t>
            </w:r>
          </w:p>
        </w:tc>
        <w:tc>
          <w:tcPr>
            <w:tcW w:w="4458" w:type="dxa"/>
            <w:vAlign w:val="center"/>
          </w:tcPr>
          <w:p w14:paraId="468EE6B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把H系IMU位姿转换到车体控制点；当前包含约-12°pitch安装关系和完整杆臂</w:t>
            </w:r>
          </w:p>
        </w:tc>
      </w:tr>
    </w:tbl>
    <w:p w14:paraId="7FC048AD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5.3 实施要求</w:t>
      </w:r>
    </w:p>
    <w:p w14:paraId="4969BB9A">
      <w:pPr>
        <w:pStyle w:val="4"/>
        <w:numPr>
          <w:ilvl w:val="0"/>
          <w:numId w:val="8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位置和姿态必须一起做三维变换，不能只改x/y。 </w:t>
      </w:r>
    </w:p>
    <w:p w14:paraId="15B10873">
      <w:pPr>
        <w:pStyle w:val="4"/>
        <w:numPr>
          <w:ilvl w:val="0"/>
          <w:numId w:val="8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平移向量方向和表达坐标系必须明确。当前launch参数注释定义为“IMU原点指向base_link原点，并按base_link轴表达”。 </w:t>
      </w:r>
    </w:p>
    <w:p w14:paraId="6EB2E7FC">
      <w:pPr>
        <w:pStyle w:val="4"/>
        <w:numPr>
          <w:ilvl w:val="0"/>
          <w:numId w:val="8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LiDAR-IMU外参与IMU-base_link外参必须作为一个整体核对，避免重复计入LiDAR-IMU平移。 </w:t>
      </w:r>
    </w:p>
    <w:p w14:paraId="42F54BDC">
      <w:pPr>
        <w:pStyle w:val="4"/>
        <w:numPr>
          <w:ilvl w:val="0"/>
          <w:numId w:val="8"/>
        </w:numPr>
        <w:tabs>
          <w:tab w:val="left" w:pos="799"/>
        </w:tabs>
        <w:bidi w:val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标定改变后，必须重新进行直线、转弯、坡地和原地姿态测试。 </w:t>
      </w:r>
    </w:p>
    <w:p w14:paraId="3B2800B1">
      <w:pPr>
        <w:pStyle w:val="2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第六章 水平3DoF与竖直1DoF估计</w:t>
      </w:r>
    </w:p>
    <w:p w14:paraId="17B043AC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6.1 GPS统一到地图ENU</w:t>
      </w:r>
    </w:p>
    <w:p w14:paraId="52126795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建图模式在稳定GPS样本上保存地图原点，经纬高由同一个GeographicLib LocalCartesian转换器得到：</w:t>
      </w:r>
    </w:p>
    <w:p w14:paraId="07710406">
      <w:pPr>
        <w:pStyle w:val="4"/>
        <w:bidi w:val="0"/>
        <w:jc w:val="center"/>
        <w:rPr>
          <w:rFonts w:hint="default" w:ascii="Ubuntu" w:hAnsi="Ubuntu" w:cs="Ubuntu" w:eastAsiaTheme="minorEastAsia"/>
          <w:sz w:val="23"/>
        </w:rPr>
      </w:pPr>
      <w:r>
        <w:rPr>
          <w:rFonts w:hint="default" w:ascii="Ubuntu" w:hAnsi="Ubuntu" w:cs="Ubuntu" w:eastAsiaTheme="minorEastAsia"/>
          <w:sz w:val="23"/>
        </w:rPr>
        <w:t>p</w:t>
      </w:r>
      <w:r>
        <w:rPr>
          <w:rFonts w:hint="default" w:ascii="Ubuntu" w:hAnsi="Ubuntu" w:cs="Ubuntu" w:eastAsiaTheme="minorEastAsia"/>
          <w:position w:val="-2"/>
          <w:sz w:val="23"/>
        </w:rPr>
        <w:t>E</w:t>
      </w:r>
      <w:r>
        <w:rPr>
          <w:rFonts w:hint="default" w:ascii="Ubuntu" w:hAnsi="Ubuntu" w:cs="Ubuntu" w:eastAsiaTheme="minorEastAsia"/>
          <w:position w:val="8"/>
          <w:sz w:val="23"/>
        </w:rPr>
        <w:t>GPS</w:t>
      </w:r>
      <w:r>
        <w:rPr>
          <w:rFonts w:hint="default" w:ascii="Ubuntu" w:hAnsi="Ubuntu" w:cs="Ubuntu" w:eastAsiaTheme="minorEastAsia"/>
          <w:sz w:val="23"/>
        </w:rPr>
        <w:t xml:space="preserve"> = LocalCartesian(latitude, longitude, height)</w:t>
      </w:r>
    </w:p>
    <w:p w14:paraId="02AC3C6B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当前直接使用East、North和相对Up，不再按建图初始航向旋转GPS位置。组合导航原始“正北为0、顺时针为正”的航向，在1ant协议层转换为“正东为0、逆时针为正”的ENU航向，再传给fusion。</w:t>
      </w:r>
    </w:p>
    <w:p w14:paraId="016C0402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6.2 时间同步配对</w:t>
      </w:r>
    </w:p>
    <w:p w14:paraId="6D9D1B15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fusion保存H系base_link的LIO轨迹缓存。每个有效GPS样本到达时，查找时间最近的LIO，当前最大容差为0.05 s。超过容差的样本不能用于4DoF拟合。</w:t>
      </w:r>
    </w:p>
    <w:p w14:paraId="7D83707C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窗口参数：</w:t>
      </w:r>
    </w:p>
    <w:tbl>
      <w:tblPr>
        <w:tblStyle w:val="13"/>
        <w:tblW w:w="9360" w:type="dxa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56"/>
        <w:gridCol w:w="1368"/>
        <w:gridCol w:w="3836"/>
      </w:tblGrid>
      <w:tr w14:paraId="2101C13C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4156" w:type="dxa"/>
            <w:vAlign w:val="center"/>
          </w:tcPr>
          <w:p w14:paraId="2AF8DE56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参数</w:t>
            </w:r>
          </w:p>
        </w:tc>
        <w:tc>
          <w:tcPr>
            <w:tcW w:w="1368" w:type="dxa"/>
            <w:vAlign w:val="center"/>
          </w:tcPr>
          <w:p w14:paraId="3FEB3109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值</w:t>
            </w:r>
          </w:p>
        </w:tc>
        <w:tc>
          <w:tcPr>
            <w:tcW w:w="3836" w:type="dxa"/>
            <w:vAlign w:val="center"/>
          </w:tcPr>
          <w:p w14:paraId="6800FF3C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作用</w:t>
            </w:r>
          </w:p>
        </w:tc>
      </w:tr>
      <w:tr w14:paraId="08240140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4156" w:type="dxa"/>
            <w:vAlign w:val="center"/>
          </w:tcPr>
          <w:p w14:paraId="28ED3BD9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se2_max_window</w:t>
            </w:r>
          </w:p>
        </w:tc>
        <w:tc>
          <w:tcPr>
            <w:tcW w:w="1368" w:type="dxa"/>
            <w:vAlign w:val="center"/>
          </w:tcPr>
          <w:p w14:paraId="4D63809F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400</w:t>
            </w:r>
          </w:p>
        </w:tc>
        <w:tc>
          <w:tcPr>
            <w:tcW w:w="3836" w:type="dxa"/>
            <w:vAlign w:val="center"/>
          </w:tcPr>
          <w:p w14:paraId="6CDDBE2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最大配对数</w:t>
            </w:r>
          </w:p>
        </w:tc>
      </w:tr>
      <w:tr w14:paraId="5A7BE94C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4156" w:type="dxa"/>
            <w:vAlign w:val="center"/>
          </w:tcPr>
          <w:p w14:paraId="2544C44F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se2_window_span_sec</w:t>
            </w:r>
          </w:p>
        </w:tc>
        <w:tc>
          <w:tcPr>
            <w:tcW w:w="1368" w:type="dxa"/>
            <w:vAlign w:val="center"/>
          </w:tcPr>
          <w:p w14:paraId="1C093FF6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45.0 s</w:t>
            </w:r>
          </w:p>
        </w:tc>
        <w:tc>
          <w:tcPr>
            <w:tcW w:w="3836" w:type="dxa"/>
            <w:vAlign w:val="center"/>
          </w:tcPr>
          <w:p w14:paraId="38EC7791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最大时间跨度</w:t>
            </w:r>
          </w:p>
        </w:tc>
      </w:tr>
      <w:tr w14:paraId="08754E89">
        <w:tc>
          <w:tcPr>
            <w:tcW w:w="4156" w:type="dxa"/>
            <w:vAlign w:val="center"/>
          </w:tcPr>
          <w:p w14:paraId="62C5B2C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se2_match_tol_sec</w:t>
            </w:r>
          </w:p>
        </w:tc>
        <w:tc>
          <w:tcPr>
            <w:tcW w:w="1368" w:type="dxa"/>
            <w:vAlign w:val="center"/>
          </w:tcPr>
          <w:p w14:paraId="00FCA2B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0.05 s</w:t>
            </w:r>
          </w:p>
        </w:tc>
        <w:tc>
          <w:tcPr>
            <w:tcW w:w="3836" w:type="dxa"/>
            <w:vAlign w:val="center"/>
          </w:tcPr>
          <w:p w14:paraId="62272226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GPS-LIO时间配对容差</w:t>
            </w:r>
          </w:p>
        </w:tc>
      </w:tr>
    </w:tbl>
    <w:p w14:paraId="39D8C249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6.3 水平闭式对齐</w:t>
      </w:r>
    </w:p>
    <w:p w14:paraId="123EFE02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对匹配点求解二维刚体变换：</w:t>
      </w:r>
    </w:p>
    <w:p w14:paraId="777AC697">
      <w:pPr>
        <w:pStyle w:val="4"/>
        <w:bidi w:val="0"/>
        <w:jc w:val="center"/>
        <w:rPr>
          <w:rFonts w:hint="default" w:ascii="Ubuntu" w:hAnsi="Ubuntu" w:cs="Ubuntu" w:eastAsiaTheme="minorEastAsia"/>
          <w:sz w:val="23"/>
        </w:rPr>
      </w:pPr>
      <w:r>
        <w:rPr>
          <w:rFonts w:hint="default" w:ascii="Ubuntu" w:hAnsi="Ubuntu" w:cs="Ubuntu" w:eastAsiaTheme="minorEastAsia"/>
          <w:sz w:val="23"/>
        </w:rPr>
        <w:t>min Σ ||p</w:t>
      </w:r>
      <w:r>
        <w:rPr>
          <w:rFonts w:hint="default" w:ascii="Ubuntu" w:hAnsi="Ubuntu" w:cs="Ubuntu" w:eastAsiaTheme="minorEastAsia"/>
          <w:position w:val="-2"/>
          <w:sz w:val="23"/>
        </w:rPr>
        <w:t>E,i</w:t>
      </w:r>
      <w:r>
        <w:rPr>
          <w:rFonts w:hint="default" w:ascii="Ubuntu" w:hAnsi="Ubuntu" w:cs="Ubuntu" w:eastAsiaTheme="minorEastAsia"/>
          <w:position w:val="8"/>
          <w:sz w:val="23"/>
        </w:rPr>
        <w:t>xy</w:t>
      </w:r>
      <w:r>
        <w:rPr>
          <w:rFonts w:hint="default" w:ascii="Ubuntu" w:hAnsi="Ubuntu" w:cs="Ubuntu" w:eastAsiaTheme="minorEastAsia"/>
          <w:sz w:val="23"/>
        </w:rPr>
        <w:t xml:space="preserve"> - (R(θ)p</w:t>
      </w:r>
      <w:r>
        <w:rPr>
          <w:rFonts w:hint="default" w:ascii="Ubuntu" w:hAnsi="Ubuntu" w:cs="Ubuntu" w:eastAsiaTheme="minorEastAsia"/>
          <w:position w:val="-2"/>
          <w:sz w:val="23"/>
        </w:rPr>
        <w:t>H,i</w:t>
      </w:r>
      <w:r>
        <w:rPr>
          <w:rFonts w:hint="default" w:ascii="Ubuntu" w:hAnsi="Ubuntu" w:cs="Ubuntu" w:eastAsiaTheme="minorEastAsia"/>
          <w:position w:val="8"/>
          <w:sz w:val="23"/>
        </w:rPr>
        <w:t>xy</w:t>
      </w:r>
      <w:r>
        <w:rPr>
          <w:rFonts w:hint="default" w:ascii="Ubuntu" w:hAnsi="Ubuntu" w:cs="Ubuntu" w:eastAsiaTheme="minorEastAsia"/>
          <w:sz w:val="23"/>
        </w:rPr>
        <w:t xml:space="preserve"> + t</w:t>
      </w:r>
      <w:r>
        <w:rPr>
          <w:rFonts w:hint="default" w:ascii="Ubuntu" w:hAnsi="Ubuntu" w:cs="Ubuntu" w:eastAsiaTheme="minorEastAsia"/>
          <w:position w:val="-2"/>
          <w:sz w:val="23"/>
        </w:rPr>
        <w:t>xy</w:t>
      </w:r>
      <w:r>
        <w:rPr>
          <w:rFonts w:hint="default" w:ascii="Ubuntu" w:hAnsi="Ubuntu" w:cs="Ubuntu" w:eastAsiaTheme="minorEastAsia"/>
          <w:sz w:val="23"/>
        </w:rPr>
        <w:t>)||²</w:t>
      </w:r>
    </w:p>
    <w:p w14:paraId="45916595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使用二维Umeyama闭式形式计算旋转和平移，不需要每帧构建大规模Ceres位姿图。平移由两组点的质心关系得到。</w:t>
      </w:r>
    </w:p>
    <w:p w14:paraId="51FB7B09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6.4 直线退化、播种与锁定</w:t>
      </w:r>
    </w:p>
    <w:p w14:paraId="7BBCAE66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通过LIO窗口二维协方差特征值计算沿迹向和横迹向标准差：</w:t>
      </w:r>
    </w:p>
    <w:p w14:paraId="03F2C260">
      <w:pPr>
        <w:pStyle w:val="4"/>
        <w:numPr>
          <w:ilvl w:val="0"/>
          <w:numId w:val="9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along_std：轨迹主要方向展布。 </w:t>
      </w:r>
    </w:p>
    <w:p w14:paraId="3391DDC9">
      <w:pPr>
        <w:pStyle w:val="4"/>
        <w:numPr>
          <w:ilvl w:val="0"/>
          <w:numId w:val="9"/>
        </w:numPr>
        <w:tabs>
          <w:tab w:val="left" w:pos="799"/>
        </w:tabs>
        <w:bidi w:val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cross_std：轨迹垂直方向展布。 </w:t>
      </w:r>
    </w:p>
    <w:p w14:paraId="4E61FEFC">
      <w:pPr>
        <w:pStyle w:val="4"/>
        <w:bidi w:val="0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当前逻辑按精度从高到低选择θ：</w:t>
      </w:r>
    </w:p>
    <w:p w14:paraId="7F6428E3">
      <w:pPr>
        <w:pStyle w:val="4"/>
        <w:numPr>
          <w:ilvl w:val="0"/>
          <w:numId w:val="10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横迹展布≥0.10 m、至少15个样本、连续3帧满足：使用鲁棒Umeyama并置locked=true。 </w:t>
      </w:r>
    </w:p>
    <w:p w14:paraId="24A3EB7A">
      <w:pPr>
        <w:pStyle w:val="4"/>
        <w:numPr>
          <w:ilvl w:val="0"/>
          <w:numId w:val="10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已经锁定后重新进入长直线：冻结既有θ，不让直线弱观测拉偏。 </w:t>
      </w:r>
    </w:p>
    <w:p w14:paraId="5CB9720A">
      <w:pPr>
        <w:pStyle w:val="4"/>
        <w:numPr>
          <w:ilvl w:val="0"/>
          <w:numId w:val="10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尚未锁定但along_std≥0.50 m：使用窗口运动基线播种。 </w:t>
      </w:r>
    </w:p>
    <w:p w14:paraId="0BB3B94B">
      <w:pPr>
        <w:pStyle w:val="4"/>
        <w:numPr>
          <w:ilvl w:val="0"/>
          <w:numId w:val="10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基线不足但组合导航航向可信：使用θ=ENU航向−LIO航向作为冷启动种子。 </w:t>
      </w:r>
    </w:p>
    <w:p w14:paraId="29750DD0">
      <w:pPr>
        <w:pStyle w:val="4"/>
        <w:numPr>
          <w:ilvl w:val="0"/>
          <w:numId w:val="10"/>
        </w:numPr>
        <w:tabs>
          <w:tab w:val="left" w:pos="799"/>
        </w:tabs>
        <w:bidi w:val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以上都不满足：暂不建立水平对齐。 </w:t>
      </w:r>
    </w:p>
    <w:p w14:paraId="57F4E2F1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6.5 水平异常点抑制</w:t>
      </w:r>
    </w:p>
    <w:p w14:paraId="3F18F10D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先用全窗口拟合，再按0.5 m残差阈值筛选内点。如果内点至少3个且占一半以上，则用内点重新拟合；如果异常点占多数，则拒绝本次提交，保持上一次生产变换不动。程序同时记录残差RMS和异常点比例，用于判断GPS多路径、时间同步或杆臂误差。</w:t>
      </w:r>
    </w:p>
    <w:p w14:paraId="5754F570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6.6 竖直tz估计</w:t>
      </w:r>
    </w:p>
    <w:p w14:paraId="2047E13B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对每个有效配对计算：</w:t>
      </w:r>
    </w:p>
    <w:p w14:paraId="1D5AC318">
      <w:pPr>
        <w:pStyle w:val="4"/>
        <w:bidi w:val="0"/>
        <w:jc w:val="center"/>
        <w:rPr>
          <w:rFonts w:hint="default" w:ascii="Ubuntu" w:hAnsi="Ubuntu" w:cs="Ubuntu" w:eastAsiaTheme="minorEastAsia"/>
          <w:sz w:val="23"/>
        </w:rPr>
      </w:pPr>
      <w:r>
        <w:rPr>
          <w:rFonts w:hint="default" w:ascii="Ubuntu" w:hAnsi="Ubuntu" w:cs="Ubuntu" w:eastAsiaTheme="minorEastAsia"/>
          <w:sz w:val="23"/>
        </w:rPr>
        <w:t>d</w:t>
      </w:r>
      <w:r>
        <w:rPr>
          <w:rFonts w:hint="default" w:ascii="Ubuntu" w:hAnsi="Ubuntu" w:cs="Ubuntu" w:eastAsiaTheme="minorEastAsia"/>
          <w:position w:val="-2"/>
          <w:sz w:val="23"/>
        </w:rPr>
        <w:t>z,i</w:t>
      </w:r>
      <w:r>
        <w:rPr>
          <w:rFonts w:hint="default" w:ascii="Ubuntu" w:hAnsi="Ubuntu" w:cs="Ubuntu" w:eastAsiaTheme="minorEastAsia"/>
          <w:sz w:val="23"/>
        </w:rPr>
        <w:t xml:space="preserve"> = z</w:t>
      </w:r>
      <w:r>
        <w:rPr>
          <w:rFonts w:hint="default" w:ascii="Ubuntu" w:hAnsi="Ubuntu" w:cs="Ubuntu" w:eastAsiaTheme="minorEastAsia"/>
          <w:position w:val="-2"/>
          <w:sz w:val="23"/>
        </w:rPr>
        <w:t>E,i</w:t>
      </w:r>
      <w:r>
        <w:rPr>
          <w:rFonts w:hint="default" w:ascii="Ubuntu" w:hAnsi="Ubuntu" w:cs="Ubuntu" w:eastAsiaTheme="minorEastAsia"/>
          <w:position w:val="8"/>
          <w:sz w:val="23"/>
        </w:rPr>
        <w:t>GPS</w:t>
      </w:r>
      <w:r>
        <w:rPr>
          <w:rFonts w:hint="default" w:ascii="Ubuntu" w:hAnsi="Ubuntu" w:cs="Ubuntu" w:eastAsiaTheme="minorEastAsia"/>
          <w:sz w:val="23"/>
        </w:rPr>
        <w:t xml:space="preserve"> - z</w:t>
      </w:r>
      <w:r>
        <w:rPr>
          <w:rFonts w:hint="default" w:ascii="Ubuntu" w:hAnsi="Ubuntu" w:cs="Ubuntu" w:eastAsiaTheme="minorEastAsia"/>
          <w:position w:val="-2"/>
          <w:sz w:val="23"/>
        </w:rPr>
        <w:t>H,i</w:t>
      </w:r>
      <w:r>
        <w:rPr>
          <w:rFonts w:hint="default" w:ascii="Ubuntu" w:hAnsi="Ubuntu" w:cs="Ubuntu" w:eastAsiaTheme="minorEastAsia"/>
          <w:position w:val="8"/>
          <w:sz w:val="23"/>
        </w:rPr>
        <w:t>LIO</w:t>
      </w:r>
    </w:p>
    <w:p w14:paraId="51B73D7F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当前竖直门限：</w:t>
      </w:r>
    </w:p>
    <w:tbl>
      <w:tblPr>
        <w:tblStyle w:val="13"/>
        <w:tblW w:w="9360" w:type="dxa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86"/>
        <w:gridCol w:w="1522"/>
        <w:gridCol w:w="3952"/>
      </w:tblGrid>
      <w:tr w14:paraId="5DC04786">
        <w:tc>
          <w:tcPr>
            <w:tcW w:w="3886" w:type="dxa"/>
            <w:vAlign w:val="center"/>
          </w:tcPr>
          <w:p w14:paraId="67AA0A9D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参数</w:t>
            </w:r>
          </w:p>
        </w:tc>
        <w:tc>
          <w:tcPr>
            <w:tcW w:w="1522" w:type="dxa"/>
            <w:vAlign w:val="center"/>
          </w:tcPr>
          <w:p w14:paraId="1B74CF31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值</w:t>
            </w:r>
          </w:p>
        </w:tc>
        <w:tc>
          <w:tcPr>
            <w:tcW w:w="3952" w:type="dxa"/>
            <w:vAlign w:val="center"/>
          </w:tcPr>
          <w:p w14:paraId="04E1A0FB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意义</w:t>
            </w:r>
          </w:p>
        </w:tc>
      </w:tr>
      <w:tr w14:paraId="00810E31">
        <w:tc>
          <w:tcPr>
            <w:tcW w:w="3886" w:type="dxa"/>
            <w:vAlign w:val="center"/>
          </w:tcPr>
          <w:p w14:paraId="3F2868D8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vertical_min_samples</w:t>
            </w:r>
          </w:p>
        </w:tc>
        <w:tc>
          <w:tcPr>
            <w:tcW w:w="1522" w:type="dxa"/>
            <w:vAlign w:val="center"/>
          </w:tcPr>
          <w:p w14:paraId="03B2DD18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10</w:t>
            </w:r>
          </w:p>
        </w:tc>
        <w:tc>
          <w:tcPr>
            <w:tcW w:w="3952" w:type="dxa"/>
            <w:vAlign w:val="center"/>
          </w:tcPr>
          <w:p w14:paraId="6B34024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最低内点数</w:t>
            </w:r>
          </w:p>
        </w:tc>
      </w:tr>
      <w:tr w14:paraId="4A96FF8D">
        <w:tc>
          <w:tcPr>
            <w:tcW w:w="3886" w:type="dxa"/>
            <w:vAlign w:val="center"/>
          </w:tcPr>
          <w:p w14:paraId="2D148026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vertical_outlier_threshold</w:t>
            </w:r>
          </w:p>
        </w:tc>
        <w:tc>
          <w:tcPr>
            <w:tcW w:w="1522" w:type="dxa"/>
            <w:vAlign w:val="center"/>
          </w:tcPr>
          <w:p w14:paraId="05FB6484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0.80 m</w:t>
            </w:r>
          </w:p>
        </w:tc>
        <w:tc>
          <w:tcPr>
            <w:tcW w:w="3952" w:type="dxa"/>
            <w:vAlign w:val="center"/>
          </w:tcPr>
          <w:p w14:paraId="19E4BF5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相对dz中位数的剔除阈值</w:t>
            </w:r>
          </w:p>
        </w:tc>
      </w:tr>
      <w:tr w14:paraId="06869604">
        <w:tc>
          <w:tcPr>
            <w:tcW w:w="3886" w:type="dxa"/>
            <w:vAlign w:val="center"/>
          </w:tcPr>
          <w:p w14:paraId="2F8F5D7F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vertical_max_std</w:t>
            </w:r>
          </w:p>
        </w:tc>
        <w:tc>
          <w:tcPr>
            <w:tcW w:w="1522" w:type="dxa"/>
            <w:vAlign w:val="center"/>
          </w:tcPr>
          <w:p w14:paraId="55FB76E8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0.30 m</w:t>
            </w:r>
          </w:p>
        </w:tc>
        <w:tc>
          <w:tcPr>
            <w:tcW w:w="3952" w:type="dxa"/>
            <w:vAlign w:val="center"/>
          </w:tcPr>
          <w:p w14:paraId="061222C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内点dz标准差上限</w:t>
            </w:r>
          </w:p>
        </w:tc>
      </w:tr>
      <w:tr w14:paraId="60FE0485">
        <w:tc>
          <w:tcPr>
            <w:tcW w:w="3886" w:type="dxa"/>
            <w:vAlign w:val="center"/>
          </w:tcPr>
          <w:p w14:paraId="57D86B2C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vertical_max_abs_offset</w:t>
            </w:r>
          </w:p>
        </w:tc>
        <w:tc>
          <w:tcPr>
            <w:tcW w:w="1522" w:type="dxa"/>
            <w:vAlign w:val="center"/>
          </w:tcPr>
          <w:p w14:paraId="2A682DF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1000 m</w:t>
            </w:r>
          </w:p>
        </w:tc>
        <w:tc>
          <w:tcPr>
            <w:tcW w:w="3952" w:type="dxa"/>
            <w:vAlign w:val="center"/>
          </w:tcPr>
          <w:p w14:paraId="36F96D45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拒绝明显单位或高程基准错误</w:t>
            </w:r>
          </w:p>
        </w:tc>
      </w:tr>
    </w:tbl>
    <w:p w14:paraId="0F6BE348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只有内点数、内点占比、均值范围和标准差全部合格，才提交t</w:t>
      </w:r>
      <w:r>
        <w:rPr>
          <w:rFonts w:hint="default" w:ascii="Ubuntu" w:hAnsi="Ubuntu" w:cs="Ubuntu" w:eastAsiaTheme="minorEastAsia"/>
          <w:position w:val="-2"/>
          <w:sz w:val="17"/>
        </w:rPr>
        <w:t>z</w:t>
      </w:r>
      <w:r>
        <w:rPr>
          <w:rFonts w:hint="default" w:ascii="Ubuntu" w:hAnsi="Ubuntu" w:cs="Ubuntu" w:eastAsiaTheme="minorEastAsia"/>
        </w:rPr>
        <w:t>。GPS高程不逐帧直接写入输出；正常情况下输出z使用LIO相对高程加冻结或缓慢更新的t</w:t>
      </w:r>
      <w:r>
        <w:rPr>
          <w:rFonts w:hint="default" w:ascii="Ubuntu" w:hAnsi="Ubuntu" w:cs="Ubuntu" w:eastAsiaTheme="minorEastAsia"/>
          <w:position w:val="-2"/>
          <w:sz w:val="17"/>
        </w:rPr>
        <w:t>z</w:t>
      </w:r>
      <w:r>
        <w:rPr>
          <w:rFonts w:hint="default" w:ascii="Ubuntu" w:hAnsi="Ubuntu" w:cs="Ubuntu" w:eastAsiaTheme="minorEastAsia"/>
        </w:rPr>
        <w:t>，以降低GNSS高程噪声。</w:t>
      </w:r>
    </w:p>
    <w:p w14:paraId="2469B8B5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6.7 完整4DoF有效条件</w:t>
      </w:r>
    </w:p>
    <w:p w14:paraId="67CFF1F6">
      <w:pPr>
        <w:pStyle w:val="4"/>
        <w:bidi w:val="0"/>
        <w:jc w:val="center"/>
        <w:rPr>
          <w:rFonts w:hint="default" w:ascii="Ubuntu" w:hAnsi="Ubuntu" w:cs="Ubuntu" w:eastAsiaTheme="minorEastAsia"/>
          <w:sz w:val="23"/>
        </w:rPr>
      </w:pPr>
      <w:r>
        <w:rPr>
          <w:rFonts w:hint="default" w:ascii="Ubuntu" w:hAnsi="Ubuntu" w:cs="Ubuntu" w:eastAsiaTheme="minorEastAsia"/>
          <w:sz w:val="23"/>
        </w:rPr>
        <w:t>Is4DAligned = horizontal_aligned ∧ vertical_aligned</w:t>
      </w:r>
    </w:p>
    <w:p w14:paraId="236764B1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正常融合模式只有在水平对齐和竖直对齐都有效后，才允许发布地图全局位姿。这样避免把局部H系z直接冒充地图ENU z。</w:t>
      </w:r>
    </w:p>
    <w:p w14:paraId="55DA70D9">
      <w:pPr>
        <w:pStyle w:val="2"/>
        <w:pBdr>
          <w:bottom w:val="single" w:color="4F81BD" w:sz="12" w:space="5"/>
        </w:pBdr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第七章 姿态来源与对外输出</w:t>
      </w:r>
    </w:p>
    <w:p w14:paraId="7B2AAD89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7.1 三类roll/pitch的区别</w:t>
      </w:r>
    </w:p>
    <w:tbl>
      <w:tblPr>
        <w:tblStyle w:val="13"/>
        <w:tblW w:w="9360" w:type="dxa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00"/>
        <w:gridCol w:w="2850"/>
        <w:gridCol w:w="2500"/>
        <w:gridCol w:w="2510"/>
      </w:tblGrid>
      <w:tr w14:paraId="0B9AC9CC">
        <w:tc>
          <w:tcPr>
            <w:tcW w:w="1500" w:type="dxa"/>
            <w:vAlign w:val="center"/>
          </w:tcPr>
          <w:p w14:paraId="45B03088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来源</w:t>
            </w:r>
          </w:p>
        </w:tc>
        <w:tc>
          <w:tcPr>
            <w:tcW w:w="2850" w:type="dxa"/>
            <w:vAlign w:val="center"/>
          </w:tcPr>
          <w:p w14:paraId="4384EAD3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物理含义</w:t>
            </w:r>
          </w:p>
        </w:tc>
        <w:tc>
          <w:tcPr>
            <w:tcW w:w="2500" w:type="dxa"/>
            <w:vAlign w:val="center"/>
          </w:tcPr>
          <w:p w14:paraId="43A89DA3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优点</w:t>
            </w:r>
          </w:p>
        </w:tc>
        <w:tc>
          <w:tcPr>
            <w:tcW w:w="2510" w:type="dxa"/>
            <w:vAlign w:val="center"/>
          </w:tcPr>
          <w:p w14:paraId="6BEFFB75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限制</w:t>
            </w:r>
          </w:p>
        </w:tc>
      </w:tr>
      <w:tr w14:paraId="6AD13C47">
        <w:tc>
          <w:tcPr>
            <w:tcW w:w="1500" w:type="dxa"/>
            <w:vAlign w:val="center"/>
          </w:tcPr>
          <w:p w14:paraId="69C31DF0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UM981 DRPVAA</w:t>
            </w:r>
          </w:p>
        </w:tc>
        <w:tc>
          <w:tcPr>
            <w:tcW w:w="2850" w:type="dxa"/>
            <w:vAlign w:val="center"/>
          </w:tcPr>
          <w:p w14:paraId="70DEE73C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组合导航解算的车辆姿态</w:t>
            </w:r>
          </w:p>
        </w:tc>
        <w:tc>
          <w:tcPr>
            <w:tcW w:w="2500" w:type="dxa"/>
            <w:vAlign w:val="center"/>
          </w:tcPr>
          <w:p w14:paraId="054F00AF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20 Hz、可直接对外、与GNSS/INS系统一致</w:t>
            </w:r>
          </w:p>
        </w:tc>
        <w:tc>
          <w:tcPr>
            <w:tcW w:w="2510" w:type="dxa"/>
            <w:vAlign w:val="center"/>
          </w:tcPr>
          <w:p w14:paraId="62DBD0E2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依赖安装角、INS状态、时延和协议轴定义</w:t>
            </w:r>
          </w:p>
        </w:tc>
      </w:tr>
      <w:tr w14:paraId="2EF0C888">
        <w:tc>
          <w:tcPr>
            <w:tcW w:w="1500" w:type="dxa"/>
            <w:vAlign w:val="center"/>
          </w:tcPr>
          <w:p w14:paraId="4D00E13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FAST-LIO静态初始化重力</w:t>
            </w:r>
          </w:p>
        </w:tc>
        <w:tc>
          <w:tcPr>
            <w:tcW w:w="2850" w:type="dxa"/>
            <w:vAlign w:val="center"/>
          </w:tcPr>
          <w:p w14:paraId="215E2F4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启动窗口内估计的重力方向和陀螺零偏</w:t>
            </w:r>
          </w:p>
        </w:tc>
        <w:tc>
          <w:tcPr>
            <w:tcW w:w="2500" w:type="dxa"/>
            <w:vAlign w:val="center"/>
          </w:tcPr>
          <w:p w14:paraId="6CB6BCB5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与FAST-LIO内部IMU一致，是H系建立依据</w:t>
            </w:r>
          </w:p>
        </w:tc>
        <w:tc>
          <w:tcPr>
            <w:tcW w:w="2510" w:type="dxa"/>
            <w:vAlign w:val="center"/>
          </w:tcPr>
          <w:p w14:paraId="47060FB0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主要是初始化约束，不是独立的每帧外部姿态话题</w:t>
            </w:r>
          </w:p>
        </w:tc>
      </w:tr>
      <w:tr w14:paraId="4EB0D519">
        <w:tc>
          <w:tcPr>
            <w:tcW w:w="1500" w:type="dxa"/>
            <w:vAlign w:val="center"/>
          </w:tcPr>
          <w:p w14:paraId="65DF3F15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最终LIO旋转矩阵提取</w:t>
            </w:r>
          </w:p>
        </w:tc>
        <w:tc>
          <w:tcPr>
            <w:tcW w:w="2850" w:type="dxa"/>
            <w:vAlign w:val="center"/>
          </w:tcPr>
          <w:p w14:paraId="463A6C3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H系LIO姿态经IMU→base_link外参补偿后的车体姿态</w:t>
            </w:r>
          </w:p>
        </w:tc>
        <w:tc>
          <w:tcPr>
            <w:tcW w:w="2500" w:type="dxa"/>
            <w:vAlign w:val="center"/>
          </w:tcPr>
          <w:p w14:paraId="29243BF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与LIO位置和地形变化同步，可作为INS回退与一致性参考</w:t>
            </w:r>
          </w:p>
        </w:tc>
        <w:tc>
          <w:tcPr>
            <w:tcW w:w="2510" w:type="dxa"/>
            <w:vAlign w:val="center"/>
          </w:tcPr>
          <w:p w14:paraId="6C6E8D26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受LIO漂移、外参和欧拉角表达影响</w:t>
            </w:r>
          </w:p>
        </w:tc>
      </w:tr>
    </w:tbl>
    <w:p w14:paraId="0EAB0070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7.2 当前选择逻辑</w:t>
      </w:r>
    </w:p>
    <w:p w14:paraId="1F6BBC94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默认roll_pitch_source=ins。INS姿态必须满足：</w:t>
      </w:r>
    </w:p>
    <w:p w14:paraId="04C9CB28">
      <w:pPr>
        <w:pStyle w:val="4"/>
        <w:numPr>
          <w:ilvl w:val="0"/>
          <w:numId w:val="11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时间差不超过0.30 s。 </w:t>
      </w:r>
    </w:p>
    <w:p w14:paraId="6A093A78">
      <w:pPr>
        <w:pStyle w:val="4"/>
        <w:numPr>
          <w:ilvl w:val="0"/>
          <w:numId w:val="11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绝对roll/pitch不超过45°。 </w:t>
      </w:r>
    </w:p>
    <w:p w14:paraId="7FBCA27B">
      <w:pPr>
        <w:pStyle w:val="4"/>
        <w:numPr>
          <w:ilvl w:val="0"/>
          <w:numId w:val="11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当LIO姿态可用时，与LIO最大差异不超过15°。 </w:t>
      </w:r>
    </w:p>
    <w:p w14:paraId="487DDD42">
      <w:pPr>
        <w:pStyle w:val="4"/>
        <w:numPr>
          <w:ilvl w:val="0"/>
          <w:numId w:val="11"/>
        </w:numPr>
        <w:tabs>
          <w:tab w:val="left" w:pos="799"/>
        </w:tabs>
        <w:bidi w:val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数值有限，单位和轴向转换有效。 </w:t>
      </w:r>
    </w:p>
    <w:p w14:paraId="68123EB4">
      <w:pPr>
        <w:pStyle w:val="4"/>
        <w:bidi w:val="0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INS通过门控时输出INS roll/pitch；否则回退LIO。若INS和LIO都无效，则抑制本帧有效姿态输出。yaw在GPS正常时优先使用ENU航向；GPS失效时使用LIO yaw加4DoF θ。</w:t>
      </w:r>
    </w:p>
    <w:p w14:paraId="536E0984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7.3 最终规范化</w:t>
      </w:r>
    </w:p>
    <w:p w14:paraId="46BB57ED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程序将候选roll、pitch、yaw重新构造为四元数并归一化，再提取规范化RPY，以避免角度越界和非有限姿态。最终/Mower/position仍输出六个数值，但它不是全局SE(3)优化的结果，而是4DoF全局位置/yaw与重力约束姿态的组合。</w:t>
      </w:r>
    </w:p>
    <w:p w14:paraId="16FCA1E6">
      <w:pPr>
        <w:pStyle w:val="2"/>
        <w:pBdr>
          <w:bottom w:val="single" w:color="4F81BD" w:sz="12" w:space="5"/>
        </w:pBdr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第八章 工作模式、状态切换和重启</w:t>
      </w:r>
    </w:p>
    <w:p w14:paraId="1F16D941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8.1 建图模式</w:t>
      </w:r>
    </w:p>
    <w:p w14:paraId="58D66B34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create_mode_4dof.launch用于首次建立地图原点。系统先等待FAST-LIO静态初始化和稳定GPS，在GPS稳定门限跨越的样本上保存36字节地图原点文件：</w:t>
      </w:r>
    </w:p>
    <w:tbl>
      <w:tblPr>
        <w:tblStyle w:val="13"/>
        <w:tblW w:w="9360" w:type="dxa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49"/>
        <w:gridCol w:w="2877"/>
        <w:gridCol w:w="4434"/>
      </w:tblGrid>
      <w:tr w14:paraId="24D7E192">
        <w:tc>
          <w:tcPr>
            <w:tcW w:w="2049" w:type="dxa"/>
            <w:vAlign w:val="center"/>
          </w:tcPr>
          <w:p w14:paraId="16533208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偏移</w:t>
            </w:r>
          </w:p>
        </w:tc>
        <w:tc>
          <w:tcPr>
            <w:tcW w:w="2877" w:type="dxa"/>
            <w:vAlign w:val="center"/>
          </w:tcPr>
          <w:p w14:paraId="3309E94E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类型</w:t>
            </w:r>
          </w:p>
        </w:tc>
        <w:tc>
          <w:tcPr>
            <w:tcW w:w="4434" w:type="dxa"/>
            <w:vAlign w:val="center"/>
          </w:tcPr>
          <w:p w14:paraId="7BE993BF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字段</w:t>
            </w:r>
          </w:p>
        </w:tc>
      </w:tr>
      <w:tr w14:paraId="7F091801">
        <w:tc>
          <w:tcPr>
            <w:tcW w:w="2049" w:type="dxa"/>
            <w:vAlign w:val="center"/>
          </w:tcPr>
          <w:p w14:paraId="22E1E89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0</w:t>
            </w:r>
          </w:p>
        </w:tc>
        <w:tc>
          <w:tcPr>
            <w:tcW w:w="2877" w:type="dxa"/>
            <w:vAlign w:val="center"/>
          </w:tcPr>
          <w:p w14:paraId="0290662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int32</w:t>
            </w:r>
          </w:p>
        </w:tc>
        <w:tc>
          <w:tcPr>
            <w:tcW w:w="4434" w:type="dxa"/>
            <w:vAlign w:val="center"/>
          </w:tcPr>
          <w:p w14:paraId="1944F6F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map_index</w:t>
            </w:r>
          </w:p>
        </w:tc>
      </w:tr>
      <w:tr w14:paraId="2E191B19">
        <w:tc>
          <w:tcPr>
            <w:tcW w:w="2049" w:type="dxa"/>
            <w:vAlign w:val="center"/>
          </w:tcPr>
          <w:p w14:paraId="6A4C1784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4</w:t>
            </w:r>
          </w:p>
        </w:tc>
        <w:tc>
          <w:tcPr>
            <w:tcW w:w="2877" w:type="dxa"/>
            <w:vAlign w:val="center"/>
          </w:tcPr>
          <w:p w14:paraId="5FE7960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double</w:t>
            </w:r>
          </w:p>
        </w:tc>
        <w:tc>
          <w:tcPr>
            <w:tcW w:w="4434" w:type="dxa"/>
            <w:vAlign w:val="center"/>
          </w:tcPr>
          <w:p w14:paraId="46823B68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latitude</w:t>
            </w:r>
          </w:p>
        </w:tc>
      </w:tr>
      <w:tr w14:paraId="27B9A960">
        <w:tc>
          <w:tcPr>
            <w:tcW w:w="2049" w:type="dxa"/>
            <w:vAlign w:val="center"/>
          </w:tcPr>
          <w:p w14:paraId="220F23F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12</w:t>
            </w:r>
          </w:p>
        </w:tc>
        <w:tc>
          <w:tcPr>
            <w:tcW w:w="2877" w:type="dxa"/>
            <w:vAlign w:val="center"/>
          </w:tcPr>
          <w:p w14:paraId="0703CC1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double</w:t>
            </w:r>
          </w:p>
        </w:tc>
        <w:tc>
          <w:tcPr>
            <w:tcW w:w="4434" w:type="dxa"/>
            <w:vAlign w:val="center"/>
          </w:tcPr>
          <w:p w14:paraId="6025A1F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longitude</w:t>
            </w:r>
          </w:p>
        </w:tc>
      </w:tr>
      <w:tr w14:paraId="2ED7429D">
        <w:tc>
          <w:tcPr>
            <w:tcW w:w="2049" w:type="dxa"/>
            <w:vAlign w:val="center"/>
          </w:tcPr>
          <w:p w14:paraId="33AA766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20</w:t>
            </w:r>
          </w:p>
        </w:tc>
        <w:tc>
          <w:tcPr>
            <w:tcW w:w="2877" w:type="dxa"/>
            <w:vAlign w:val="center"/>
          </w:tcPr>
          <w:p w14:paraId="21857EB2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double</w:t>
            </w:r>
          </w:p>
        </w:tc>
        <w:tc>
          <w:tcPr>
            <w:tcW w:w="4434" w:type="dxa"/>
            <w:vAlign w:val="center"/>
          </w:tcPr>
          <w:p w14:paraId="56820112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height</w:t>
            </w:r>
          </w:p>
        </w:tc>
      </w:tr>
      <w:tr w14:paraId="6AABCDE7">
        <w:tc>
          <w:tcPr>
            <w:tcW w:w="2049" w:type="dxa"/>
            <w:vAlign w:val="center"/>
          </w:tcPr>
          <w:p w14:paraId="09BAF7D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28</w:t>
            </w:r>
          </w:p>
        </w:tc>
        <w:tc>
          <w:tcPr>
            <w:tcW w:w="2877" w:type="dxa"/>
            <w:vAlign w:val="center"/>
          </w:tcPr>
          <w:p w14:paraId="00A3F920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double</w:t>
            </w:r>
          </w:p>
        </w:tc>
        <w:tc>
          <w:tcPr>
            <w:tcW w:w="4434" w:type="dxa"/>
            <w:vAlign w:val="center"/>
          </w:tcPr>
          <w:p w14:paraId="39F0DF5F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origin_yaw</w:t>
            </w:r>
          </w:p>
        </w:tc>
      </w:tr>
    </w:tbl>
    <w:p w14:paraId="45AEE183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文件先写同目录临时文件，完整写入和flush成功后再原子替换正式文件。保存失败时不能设置system_init_=true。</w:t>
      </w:r>
    </w:p>
    <w:p w14:paraId="2B463CBF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8.2 定位模式</w:t>
      </w:r>
    </w:p>
    <w:p w14:paraId="2794BAC2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location_mode_4dof.launch启动时必须读取建图保存的原点。文件缺失、截断、长度不等于36字节、包含非有限数或地理范围非法时，fusion直接拒绝启动。此举避免使用零原点或残留值输出形式正确、地图身份错误的位置。</w:t>
      </w:r>
    </w:p>
    <w:p w14:paraId="762DB6BF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8.3 GPS正常、失效与恢复</w:t>
      </w:r>
    </w:p>
    <w:tbl>
      <w:tblPr>
        <w:tblStyle w:val="13"/>
        <w:tblW w:w="9360" w:type="dxa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00"/>
        <w:gridCol w:w="2700"/>
        <w:gridCol w:w="2900"/>
        <w:gridCol w:w="1960"/>
      </w:tblGrid>
      <w:tr w14:paraId="40AEEA9D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800" w:type="dxa"/>
            <w:vAlign w:val="center"/>
          </w:tcPr>
          <w:p w14:paraId="7A6337AF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阶段</w:t>
            </w:r>
          </w:p>
        </w:tc>
        <w:tc>
          <w:tcPr>
            <w:tcW w:w="2700" w:type="dxa"/>
            <w:vAlign w:val="center"/>
          </w:tcPr>
          <w:p w14:paraId="794BC211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主要位置来源</w:t>
            </w:r>
          </w:p>
        </w:tc>
        <w:tc>
          <w:tcPr>
            <w:tcW w:w="2900" w:type="dxa"/>
            <w:vAlign w:val="center"/>
          </w:tcPr>
          <w:p w14:paraId="6230C80B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4DoF行为</w:t>
            </w:r>
          </w:p>
        </w:tc>
        <w:tc>
          <w:tcPr>
            <w:tcW w:w="1960" w:type="dxa"/>
            <w:vAlign w:val="center"/>
          </w:tcPr>
          <w:p w14:paraId="60E24E02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position_state</w:t>
            </w:r>
          </w:p>
        </w:tc>
      </w:tr>
      <w:tr w14:paraId="60200AA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800" w:type="dxa"/>
            <w:vAlign w:val="center"/>
          </w:tcPr>
          <w:p w14:paraId="5F62289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GPS正常</w:t>
            </w:r>
          </w:p>
        </w:tc>
        <w:tc>
          <w:tcPr>
            <w:tcW w:w="2700" w:type="dxa"/>
            <w:vAlign w:val="center"/>
          </w:tcPr>
          <w:p w14:paraId="094B4E45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x/y/yaw取GPS；z优先LIO+tz</w:t>
            </w:r>
          </w:p>
        </w:tc>
        <w:tc>
          <w:tcPr>
            <w:tcW w:w="2900" w:type="dxa"/>
            <w:vAlign w:val="center"/>
          </w:tcPr>
          <w:p w14:paraId="7C3D6C15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正常积累并提交对齐</w:t>
            </w:r>
          </w:p>
        </w:tc>
        <w:tc>
          <w:tcPr>
            <w:tcW w:w="1960" w:type="dxa"/>
            <w:vAlign w:val="center"/>
          </w:tcPr>
          <w:p w14:paraId="64967DF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1</w:t>
            </w:r>
          </w:p>
        </w:tc>
      </w:tr>
      <w:tr w14:paraId="5013AC8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800" w:type="dxa"/>
            <w:vAlign w:val="center"/>
          </w:tcPr>
          <w:p w14:paraId="53179345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GPS异常迟滞&lt;5帧</w:t>
            </w:r>
          </w:p>
        </w:tc>
        <w:tc>
          <w:tcPr>
            <w:tcW w:w="2700" w:type="dxa"/>
            <w:vAlign w:val="center"/>
          </w:tcPr>
          <w:p w14:paraId="3C4A26E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不立即切换，防单帧抖动</w:t>
            </w:r>
          </w:p>
        </w:tc>
        <w:tc>
          <w:tcPr>
            <w:tcW w:w="2900" w:type="dxa"/>
            <w:vAlign w:val="center"/>
          </w:tcPr>
          <w:p w14:paraId="34A6B2C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不允许异常单帧污染</w:t>
            </w:r>
          </w:p>
        </w:tc>
        <w:tc>
          <w:tcPr>
            <w:tcW w:w="1960" w:type="dxa"/>
            <w:vAlign w:val="center"/>
          </w:tcPr>
          <w:p w14:paraId="67502A35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可能暂不发布</w:t>
            </w:r>
          </w:p>
        </w:tc>
      </w:tr>
      <w:tr w14:paraId="17BF2D4E">
        <w:tc>
          <w:tcPr>
            <w:tcW w:w="1800" w:type="dxa"/>
            <w:vAlign w:val="center"/>
          </w:tcPr>
          <w:p w14:paraId="00F66C82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GPS失效、LIO健康且locked</w:t>
            </w:r>
          </w:p>
        </w:tc>
        <w:tc>
          <w:tcPr>
            <w:tcW w:w="2700" w:type="dxa"/>
            <w:vAlign w:val="center"/>
          </w:tcPr>
          <w:p w14:paraId="65C3D455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4DoF映射后的LIO</w:t>
            </w:r>
          </w:p>
        </w:tc>
        <w:tc>
          <w:tcPr>
            <w:tcW w:w="2900" w:type="dxa"/>
            <w:vAlign w:val="center"/>
          </w:tcPr>
          <w:p w14:paraId="6629AD5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冻结生产变换</w:t>
            </w:r>
          </w:p>
        </w:tc>
        <w:tc>
          <w:tcPr>
            <w:tcW w:w="1960" w:type="dxa"/>
            <w:vAlign w:val="center"/>
          </w:tcPr>
          <w:p w14:paraId="1302643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2</w:t>
            </w:r>
          </w:p>
        </w:tc>
      </w:tr>
      <w:tr w14:paraId="57118F69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800" w:type="dxa"/>
            <w:vAlign w:val="center"/>
          </w:tcPr>
          <w:p w14:paraId="456E2808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GPS失效、LIO健康但仅播种</w:t>
            </w:r>
          </w:p>
        </w:tc>
        <w:tc>
          <w:tcPr>
            <w:tcW w:w="2700" w:type="dxa"/>
            <w:vAlign w:val="center"/>
          </w:tcPr>
          <w:p w14:paraId="1FB01A61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4DoF映射后的LIO</w:t>
            </w:r>
          </w:p>
        </w:tc>
        <w:tc>
          <w:tcPr>
            <w:tcW w:w="2900" w:type="dxa"/>
            <w:vAlign w:val="center"/>
          </w:tcPr>
          <w:p w14:paraId="4BB66A0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短时可用，长直线风险较高</w:t>
            </w:r>
          </w:p>
        </w:tc>
        <w:tc>
          <w:tcPr>
            <w:tcW w:w="1960" w:type="dxa"/>
            <w:vAlign w:val="center"/>
          </w:tcPr>
          <w:p w14:paraId="520D79E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5</w:t>
            </w:r>
          </w:p>
        </w:tc>
      </w:tr>
      <w:tr w14:paraId="1184B93E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800" w:type="dxa"/>
            <w:vAlign w:val="center"/>
          </w:tcPr>
          <w:p w14:paraId="5327DE5C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GPS与LIO都不可用</w:t>
            </w:r>
          </w:p>
        </w:tc>
        <w:tc>
          <w:tcPr>
            <w:tcW w:w="2700" w:type="dxa"/>
            <w:vAlign w:val="center"/>
          </w:tcPr>
          <w:p w14:paraId="37074E0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无</w:t>
            </w:r>
          </w:p>
        </w:tc>
        <w:tc>
          <w:tcPr>
            <w:tcW w:w="2900" w:type="dxa"/>
            <w:vAlign w:val="center"/>
          </w:tcPr>
          <w:p w14:paraId="6FE2B07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进入故障并停车</w:t>
            </w:r>
          </w:p>
        </w:tc>
        <w:tc>
          <w:tcPr>
            <w:tcW w:w="1960" w:type="dxa"/>
            <w:vAlign w:val="center"/>
          </w:tcPr>
          <w:p w14:paraId="0F23FE73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不发布有效位置</w:t>
            </w:r>
          </w:p>
        </w:tc>
      </w:tr>
    </w:tbl>
    <w:p w14:paraId="0B257BB4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GPS恢复不是单帧切回。失效后计数保留在28，需要连续22个合格样本达到50。恢复候选期间GPS/LIO配对只进入候选窗，不改写生产4DoF；最后一个确认样本到达时才原子提交新对齐并切回状态1。</w:t>
      </w:r>
    </w:p>
    <w:p w14:paraId="391AAF3D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8.4 仅重启fusion</w:t>
      </w:r>
    </w:p>
    <w:p w14:paraId="57B77820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当LIO话题健康而/Mower/position断流时，android_manager_4dof使用fusion_only.launch只重启/fusion_4dof，保留/laserMapping。运行时&lt;map_path&gt;.lio4d保存θ、tx、ty、tz、锁定标志、地图身份和FAST-LIO代际。只有地图身份和代际完全匹配、校验和正确时才能恢复。</w:t>
      </w:r>
    </w:p>
    <w:p w14:paraId="73CD5452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8.5 重启FAST-LIO</w:t>
      </w:r>
    </w:p>
    <w:p w14:paraId="4A59C3A5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每次/laserMapping重启会产生新的/Mower/lio_level_transform.header.stamp。fusion检测到代际变化后：</w:t>
      </w:r>
    </w:p>
    <w:p w14:paraId="1FA2A738">
      <w:pPr>
        <w:pStyle w:val="4"/>
        <w:numPr>
          <w:ilvl w:val="0"/>
          <w:numId w:val="12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立即作废旧4DoF和LIO缓存。 </w:t>
      </w:r>
    </w:p>
    <w:p w14:paraId="5C893813">
      <w:pPr>
        <w:pStyle w:val="4"/>
        <w:numPr>
          <w:ilvl w:val="0"/>
          <w:numId w:val="12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发布停车请求。 </w:t>
      </w:r>
    </w:p>
    <w:p w14:paraId="74FDD09F">
      <w:pPr>
        <w:pStyle w:val="4"/>
        <w:numPr>
          <w:ilvl w:val="0"/>
          <w:numId w:val="12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等待新的连续静态初始化。 </w:t>
      </w:r>
    </w:p>
    <w:p w14:paraId="3920C460">
      <w:pPr>
        <w:pStyle w:val="4"/>
        <w:numPr>
          <w:ilvl w:val="0"/>
          <w:numId w:val="12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建立新的H系。 </w:t>
      </w:r>
    </w:p>
    <w:p w14:paraId="04FD6452">
      <w:pPr>
        <w:pStyle w:val="4"/>
        <w:numPr>
          <w:ilvl w:val="0"/>
          <w:numId w:val="12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用地图ENU中的GPS重新对齐。 </w:t>
      </w:r>
    </w:p>
    <w:p w14:paraId="30BA7A69">
      <w:pPr>
        <w:pStyle w:val="4"/>
        <w:numPr>
          <w:ilvl w:val="0"/>
          <w:numId w:val="12"/>
        </w:numPr>
        <w:tabs>
          <w:tab w:val="left" w:pos="799"/>
        </w:tabs>
        <w:bidi w:val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完整4DoF恢复且连续有效若干帧后解除停车。 </w:t>
      </w:r>
    </w:p>
    <w:p w14:paraId="14252D45">
      <w:pPr>
        <w:pStyle w:val="4"/>
        <w:bidi w:val="0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若此时GPS不可用，新的H系无法安全关联到旧地图ENU，系统必须保持停车。</w:t>
      </w:r>
    </w:p>
    <w:p w14:paraId="0E102221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8.6 工作中重启必须使用定位模式</w:t>
      </w:r>
    </w:p>
    <w:p w14:paraId="2D2256D2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即使工作最初由建图模式启动，工作状态中的定位重启也应使用定位模式，因为已有边界、作业轨迹和控制任务都依赖保存的地图原点。重新以建图模式选择原点会破坏连续性。</w:t>
      </w:r>
    </w:p>
    <w:p w14:paraId="5E083A7C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8.7 启动停车与解除</w:t>
      </w:r>
    </w:p>
    <w:p w14:paraId="5FDCDC8E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android_manager_4dof启动即latched发布/mower/stop_car=true。只有收到连续5帧position_state为1、2或5的有效位置，才发布false解除。若FAST-LIO始终无法完成静态初始化或4DoF无法建立，停车不会自动解除。</w:t>
      </w:r>
    </w:p>
    <w:p w14:paraId="2B0A5BEC">
      <w:pPr>
        <w:pStyle w:val="2"/>
        <w:pBdr>
          <w:bottom w:val="single" w:color="4F81BD" w:sz="12" w:space="5"/>
        </w:pBdr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第九章 当前测试与数据采集方法</w:t>
      </w:r>
    </w:p>
    <w:p w14:paraId="0704A618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9.1 测试原则</w:t>
      </w:r>
    </w:p>
    <w:p w14:paraId="48D79B97">
      <w:pPr>
        <w:pStyle w:val="4"/>
        <w:numPr>
          <w:ilvl w:val="0"/>
          <w:numId w:val="13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不能只采最终/Mower/position，必须同时保留原始传感器、原始LIO、水平化LIO、GPS、代际状态和rosout日志。 </w:t>
      </w:r>
    </w:p>
    <w:p w14:paraId="1D1E91F5">
      <w:pPr>
        <w:pStyle w:val="4"/>
        <w:numPr>
          <w:ilvl w:val="0"/>
          <w:numId w:val="13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不能把GPS单方面定义为真值。至少要同时比较GPS、原始LIO、水平化LIO和最终输出；重要尺度测试应引入全站仪、标定距离、测量轮或高质量参考轨迹。 </w:t>
      </w:r>
    </w:p>
    <w:p w14:paraId="15B2696D">
      <w:pPr>
        <w:pStyle w:val="4"/>
        <w:numPr>
          <w:ilvl w:val="0"/>
          <w:numId w:val="13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所有距离比较必须使用相同物理参考点、相同起止时间和相同距离定义。 </w:t>
      </w:r>
    </w:p>
    <w:p w14:paraId="7238345E">
      <w:pPr>
        <w:pStyle w:val="4"/>
        <w:numPr>
          <w:ilvl w:val="0"/>
          <w:numId w:val="13"/>
        </w:numPr>
        <w:tabs>
          <w:tab w:val="left" w:pos="799"/>
        </w:tabs>
        <w:bidi w:val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测试配置、地图原点、外参和软件版本必须与bag一起归档。 </w:t>
      </w:r>
    </w:p>
    <w:p w14:paraId="5B9A354E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9.2 建议录制话题</w:t>
      </w:r>
    </w:p>
    <w:p w14:paraId="79790949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rosbag record --lz4 -O 4dof_test_$(date +%Y%m%d_%H%M%S).bag \</w:t>
      </w:r>
    </w:p>
    <w:p w14:paraId="63DA8BFC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/livox/lidar \</w:t>
      </w:r>
    </w:p>
    <w:p w14:paraId="79D8911B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/livox/imu \</w:t>
      </w:r>
    </w:p>
    <w:p w14:paraId="4B9B1AE0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/nanobot/gpsposition \</w:t>
      </w:r>
    </w:p>
    <w:p w14:paraId="5D15D65F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/Mower/lio_slam \</w:t>
      </w:r>
    </w:p>
    <w:p w14:paraId="495CAF08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/Mower/lio_slam_level \</w:t>
      </w:r>
    </w:p>
    <w:p w14:paraId="580C10AB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/Mower/lio_level_transform \</w:t>
      </w:r>
    </w:p>
    <w:p w14:paraId="590B3869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/Mower/lio_static_initialized \</w:t>
      </w:r>
    </w:p>
    <w:p w14:paraId="04C3FDD0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/Mower/position \</w:t>
      </w:r>
    </w:p>
    <w:p w14:paraId="354180A5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/Mower/debug/gps \</w:t>
      </w:r>
    </w:p>
    <w:p w14:paraId="59CE1E5E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/Mower/debug/lio \</w:t>
      </w:r>
    </w:p>
    <w:p w14:paraId="0912D1A6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/Mower/debug/rtk_seed \</w:t>
      </w:r>
    </w:p>
    <w:p w14:paraId="6A33982A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/Mower/fusion \</w:t>
      </w:r>
    </w:p>
    <w:p w14:paraId="46475A8A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/mower/stop_car \</w:t>
      </w:r>
    </w:p>
    <w:p w14:paraId="68662A99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/Mower/reboot \</w:t>
      </w:r>
    </w:p>
    <w:p w14:paraId="54A4B8B3">
      <w:pPr>
        <w:pStyle w:val="26"/>
        <w:bidi w:val="0"/>
        <w:spacing w:before="0" w:after="283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  /rosout</w:t>
      </w:r>
    </w:p>
    <w:p w14:paraId="0AB6E5F8">
      <w:pPr>
        <w:pStyle w:val="28"/>
        <w:bidi w:val="0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说明：/Mower/debug/*和/Mower/fusion受DEBUG编译条件影响；若当前二进制没有这些话题，rosbag会继续录制其他话题。必要时还应加入底盘速度、控制命令、轮速和任务状态话题。</w:t>
      </w:r>
    </w:p>
    <w:p w14:paraId="3C942711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9.3 保存日志</w:t>
      </w:r>
    </w:p>
    <w:p w14:paraId="1ED6B2B3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roslaunch fusion_4dof location_mode_4dof.launch 2&gt;&amp;1 | tee fusion_4dof_$(date +%Y%m%d_%H%M%S).log</w:t>
      </w:r>
    </w:p>
    <w:p w14:paraId="3A7F9336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roslaunch android_manager_4dof android_4dof.launch 2&gt;&amp;1 | tee android_4dof_$(date +%Y%m%d_%H%M%S).log</w:t>
      </w:r>
    </w:p>
    <w:p w14:paraId="297B3552">
      <w:pPr>
        <w:pStyle w:val="26"/>
        <w:bidi w:val="0"/>
        <w:spacing w:before="0" w:after="283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rosrun serial_reader read_serial 2&gt;&amp;1 | tee serial_reader_$(date +%Y%m%d_%H%M%S).log</w:t>
      </w:r>
    </w:p>
    <w:p w14:paraId="10442FBD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重点日志标签：</w:t>
      </w:r>
    </w:p>
    <w:tbl>
      <w:tblPr>
        <w:tblStyle w:val="13"/>
        <w:tblW w:w="9360" w:type="dxa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46"/>
        <w:gridCol w:w="5814"/>
      </w:tblGrid>
      <w:tr w14:paraId="0FCD8C99">
        <w:tc>
          <w:tcPr>
            <w:tcW w:w="3546" w:type="dxa"/>
            <w:vAlign w:val="center"/>
          </w:tcPr>
          <w:p w14:paraId="016F10A2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标签</w:t>
            </w:r>
          </w:p>
        </w:tc>
        <w:tc>
          <w:tcPr>
            <w:tcW w:w="5814" w:type="dxa"/>
            <w:vAlign w:val="center"/>
          </w:tcPr>
          <w:p w14:paraId="3AED0909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用途</w:t>
            </w:r>
          </w:p>
        </w:tc>
      </w:tr>
      <w:tr w14:paraId="2D03A7C1">
        <w:tc>
          <w:tcPr>
            <w:tcW w:w="3546" w:type="dxa"/>
            <w:vAlign w:val="center"/>
          </w:tcPr>
          <w:p w14:paraId="63A30473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[4DOF-SYNC]</w:t>
            </w:r>
          </w:p>
        </w:tc>
        <w:tc>
          <w:tcPr>
            <w:tcW w:w="5814" w:type="dxa"/>
            <w:vAlign w:val="center"/>
          </w:tcPr>
          <w:p w14:paraId="00E12F0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同一时刻GPS、LIO、外参补偿后base_link和同步差</w:t>
            </w:r>
          </w:p>
        </w:tc>
      </w:tr>
      <w:tr w14:paraId="03CFB674">
        <w:tc>
          <w:tcPr>
            <w:tcW w:w="3546" w:type="dxa"/>
            <w:vAlign w:val="center"/>
          </w:tcPr>
          <w:p w14:paraId="3555349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[4DOF-INS]</w:t>
            </w:r>
          </w:p>
        </w:tc>
        <w:tc>
          <w:tcPr>
            <w:tcW w:w="5814" w:type="dxa"/>
            <w:vAlign w:val="center"/>
          </w:tcPr>
          <w:p w14:paraId="4F4AE73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INS姿态、新鲜度、LIO差异和最终选择</w:t>
            </w:r>
          </w:p>
        </w:tc>
      </w:tr>
      <w:tr w14:paraId="2BC259F9">
        <w:tc>
          <w:tcPr>
            <w:tcW w:w="3546" w:type="dxa"/>
            <w:vAlign w:val="center"/>
          </w:tcPr>
          <w:p w14:paraId="0F0CBF7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[4DOF-STATE]</w:t>
            </w:r>
          </w:p>
        </w:tc>
        <w:tc>
          <w:tcPr>
            <w:tcW w:w="5814" w:type="dxa"/>
            <w:vAlign w:val="center"/>
          </w:tcPr>
          <w:p w14:paraId="0A52DC2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系统状态、GPS/LIO健康和最终输出</w:t>
            </w:r>
          </w:p>
        </w:tc>
      </w:tr>
      <w:tr w14:paraId="1CFBA550">
        <w:tc>
          <w:tcPr>
            <w:tcW w:w="3546" w:type="dxa"/>
            <w:vAlign w:val="center"/>
          </w:tcPr>
          <w:p w14:paraId="2481DC29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[4DOF-TUNE]</w:t>
            </w:r>
          </w:p>
        </w:tc>
        <w:tc>
          <w:tcPr>
            <w:tcW w:w="5814" w:type="dxa"/>
            <w:vAlign w:val="center"/>
          </w:tcPr>
          <w:p w14:paraId="42ACB54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θ/tx/ty/tz、aligned/locked、along/cross、残差和异常点比例</w:t>
            </w:r>
          </w:p>
        </w:tc>
      </w:tr>
      <w:tr w14:paraId="149DBA6C">
        <w:tc>
          <w:tcPr>
            <w:tcW w:w="3546" w:type="dxa"/>
            <w:vAlign w:val="center"/>
          </w:tcPr>
          <w:p w14:paraId="1D46BC08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IMU static initialization</w:t>
            </w:r>
          </w:p>
        </w:tc>
        <w:tc>
          <w:tcPr>
            <w:tcW w:w="5814" w:type="dxa"/>
            <w:vAlign w:val="center"/>
          </w:tcPr>
          <w:p w14:paraId="1D0DD662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静态窗口、陀螺均值/最大值、加速度模长/方差</w:t>
            </w:r>
          </w:p>
        </w:tc>
      </w:tr>
    </w:tbl>
    <w:p w14:paraId="464A9A41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9.4 每次测试必须附带的配置快照</w:t>
      </w:r>
    </w:p>
    <w:p w14:paraId="65B7914D">
      <w:pPr>
        <w:pStyle w:val="4"/>
        <w:numPr>
          <w:ilvl w:val="0"/>
          <w:numId w:val="14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fast-lio/config/mid360_config.yaml。 </w:t>
      </w:r>
    </w:p>
    <w:p w14:paraId="7102AB25">
      <w:pPr>
        <w:pStyle w:val="4"/>
        <w:numPr>
          <w:ilvl w:val="0"/>
          <w:numId w:val="14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fusion_4dof/config/fusion_4dof_params.yaml。 </w:t>
      </w:r>
    </w:p>
    <w:p w14:paraId="7998AD1C">
      <w:pPr>
        <w:pStyle w:val="4"/>
        <w:numPr>
          <w:ilvl w:val="0"/>
          <w:numId w:val="14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实际使用的create/location/fusion_only launch。 </w:t>
      </w:r>
    </w:p>
    <w:p w14:paraId="363D106E">
      <w:pPr>
        <w:pStyle w:val="4"/>
        <w:numPr>
          <w:ilvl w:val="0"/>
          <w:numId w:val="14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实际地图原点*.mp。 </w:t>
      </w:r>
    </w:p>
    <w:p w14:paraId="23C6357A">
      <w:pPr>
        <w:pStyle w:val="4"/>
        <w:numPr>
          <w:ilvl w:val="0"/>
          <w:numId w:val="14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UM981接收机配置：DRPVAA 20 Hz、IMUATTA 1 Hz、GNGGA 1 Hz、安装角、杆臂和串口设置。 </w:t>
      </w:r>
    </w:p>
    <w:p w14:paraId="51D94686">
      <w:pPr>
        <w:pStyle w:val="4"/>
        <w:numPr>
          <w:ilvl w:val="0"/>
          <w:numId w:val="14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雷达、IMU、base_link的安装测量记录和坐标轴照片。 </w:t>
      </w:r>
    </w:p>
    <w:p w14:paraId="2CA6A205">
      <w:pPr>
        <w:pStyle w:val="4"/>
        <w:numPr>
          <w:ilvl w:val="0"/>
          <w:numId w:val="14"/>
        </w:numPr>
        <w:tabs>
          <w:tab w:val="left" w:pos="799"/>
        </w:tabs>
        <w:bidi w:val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测试日期、场地、天气、卫星遮挡、坡度、车辆载荷和轮胎状态。 </w:t>
      </w:r>
    </w:p>
    <w:p w14:paraId="504D809B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9.5 推荐测试用例</w:t>
      </w:r>
    </w:p>
    <w:tbl>
      <w:tblPr>
        <w:tblStyle w:val="13"/>
        <w:tblW w:w="9360" w:type="dxa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0"/>
        <w:gridCol w:w="1800"/>
        <w:gridCol w:w="2550"/>
        <w:gridCol w:w="4310"/>
      </w:tblGrid>
      <w:tr w14:paraId="23E829F8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700" w:type="dxa"/>
            <w:vAlign w:val="center"/>
          </w:tcPr>
          <w:p w14:paraId="439F94BA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编号</w:t>
            </w:r>
          </w:p>
        </w:tc>
        <w:tc>
          <w:tcPr>
            <w:tcW w:w="1800" w:type="dxa"/>
            <w:vAlign w:val="center"/>
          </w:tcPr>
          <w:p w14:paraId="53452C87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测试</w:t>
            </w:r>
          </w:p>
        </w:tc>
        <w:tc>
          <w:tcPr>
            <w:tcW w:w="2550" w:type="dxa"/>
            <w:vAlign w:val="center"/>
          </w:tcPr>
          <w:p w14:paraId="41D5B981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操作</w:t>
            </w:r>
          </w:p>
        </w:tc>
        <w:tc>
          <w:tcPr>
            <w:tcW w:w="4310" w:type="dxa"/>
            <w:vAlign w:val="center"/>
          </w:tcPr>
          <w:p w14:paraId="3856984E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主要验证点</w:t>
            </w:r>
          </w:p>
        </w:tc>
      </w:tr>
      <w:tr w14:paraId="3E6F9630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700" w:type="dxa"/>
            <w:vAlign w:val="center"/>
          </w:tcPr>
          <w:p w14:paraId="5AF95DB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T01</w:t>
            </w:r>
          </w:p>
        </w:tc>
        <w:tc>
          <w:tcPr>
            <w:tcW w:w="1800" w:type="dxa"/>
            <w:vAlign w:val="center"/>
          </w:tcPr>
          <w:p w14:paraId="24090BF2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水平地面冷启动</w:t>
            </w:r>
          </w:p>
        </w:tc>
        <w:tc>
          <w:tcPr>
            <w:tcW w:w="2550" w:type="dxa"/>
            <w:vAlign w:val="center"/>
          </w:tcPr>
          <w:p w14:paraId="3D29D37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车辆完全静止，启动全链路</w:t>
            </w:r>
          </w:p>
        </w:tc>
        <w:tc>
          <w:tcPr>
            <w:tcW w:w="4310" w:type="dxa"/>
            <w:vAlign w:val="center"/>
          </w:tcPr>
          <w:p w14:paraId="7BFED79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静态false→true；至少2秒；停车保持；5帧有效后解除</w:t>
            </w:r>
          </w:p>
        </w:tc>
      </w:tr>
      <w:tr w14:paraId="56985712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700" w:type="dxa"/>
            <w:vAlign w:val="center"/>
          </w:tcPr>
          <w:p w14:paraId="5CA3A4D3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T02</w:t>
            </w:r>
          </w:p>
        </w:tc>
        <w:tc>
          <w:tcPr>
            <w:tcW w:w="1800" w:type="dxa"/>
            <w:vAlign w:val="center"/>
          </w:tcPr>
          <w:p w14:paraId="78C0030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斜坡冷启动</w:t>
            </w:r>
          </w:p>
        </w:tc>
        <w:tc>
          <w:tcPr>
            <w:tcW w:w="2550" w:type="dxa"/>
            <w:vAlign w:val="center"/>
          </w:tcPr>
          <w:p w14:paraId="0457AA31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固定在已知坡面静止启动</w:t>
            </w:r>
          </w:p>
        </w:tc>
        <w:tc>
          <w:tcPr>
            <w:tcW w:w="4310" w:type="dxa"/>
            <w:vAlign w:val="center"/>
          </w:tcPr>
          <w:p w14:paraId="21A3AD7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H系仍按重力水平；输出roll/pitch反映车体坡度</w:t>
            </w:r>
          </w:p>
        </w:tc>
      </w:tr>
      <w:tr w14:paraId="30C87EA6">
        <w:tc>
          <w:tcPr>
            <w:tcW w:w="700" w:type="dxa"/>
            <w:vAlign w:val="center"/>
          </w:tcPr>
          <w:p w14:paraId="502510EC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T03</w:t>
            </w:r>
          </w:p>
        </w:tc>
        <w:tc>
          <w:tcPr>
            <w:tcW w:w="1800" w:type="dxa"/>
            <w:vAlign w:val="center"/>
          </w:tcPr>
          <w:p w14:paraId="477B1CE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初始化期间故意移动</w:t>
            </w:r>
          </w:p>
        </w:tc>
        <w:tc>
          <w:tcPr>
            <w:tcW w:w="2550" w:type="dxa"/>
            <w:vAlign w:val="center"/>
          </w:tcPr>
          <w:p w14:paraId="61EDC8F8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2秒窗口内轻推或晃动车辆</w:t>
            </w:r>
          </w:p>
        </w:tc>
        <w:tc>
          <w:tcPr>
            <w:tcW w:w="4310" w:type="dxa"/>
            <w:vAlign w:val="center"/>
          </w:tcPr>
          <w:p w14:paraId="6417266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窗口被清零；不发布有效水平位姿；保持停车</w:t>
            </w:r>
          </w:p>
        </w:tc>
      </w:tr>
      <w:tr w14:paraId="4B5987F5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700" w:type="dxa"/>
            <w:vAlign w:val="center"/>
          </w:tcPr>
          <w:p w14:paraId="26202E4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T04</w:t>
            </w:r>
          </w:p>
        </w:tc>
        <w:tc>
          <w:tcPr>
            <w:tcW w:w="1800" w:type="dxa"/>
            <w:vAlign w:val="center"/>
          </w:tcPr>
          <w:p w14:paraId="7E3642C2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标定直线</w:t>
            </w:r>
          </w:p>
        </w:tc>
        <w:tc>
          <w:tcPr>
            <w:tcW w:w="2550" w:type="dxa"/>
            <w:vAlign w:val="center"/>
          </w:tcPr>
          <w:p w14:paraId="3A51405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沿已测直线匀速前进并停车</w:t>
            </w:r>
          </w:p>
        </w:tc>
        <w:tc>
          <w:tcPr>
            <w:tcW w:w="4310" w:type="dxa"/>
            <w:vAlign w:val="center"/>
          </w:tcPr>
          <w:p w14:paraId="58A8F12C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位移、速度、停止漂移、xy/3D距离和比例误差</w:t>
            </w:r>
          </w:p>
        </w:tc>
      </w:tr>
      <w:tr w14:paraId="11939A3F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700" w:type="dxa"/>
            <w:vAlign w:val="center"/>
          </w:tcPr>
          <w:p w14:paraId="1738595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T05</w:t>
            </w:r>
          </w:p>
        </w:tc>
        <w:tc>
          <w:tcPr>
            <w:tcW w:w="1800" w:type="dxa"/>
            <w:vAlign w:val="center"/>
          </w:tcPr>
          <w:p w14:paraId="5D1550F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往返直线</w:t>
            </w:r>
          </w:p>
        </w:tc>
        <w:tc>
          <w:tcPr>
            <w:tcW w:w="2550" w:type="dxa"/>
            <w:vAlign w:val="center"/>
          </w:tcPr>
          <w:p w14:paraId="7A1D7639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同一路径正反各一次</w:t>
            </w:r>
          </w:p>
        </w:tc>
        <w:tc>
          <w:tcPr>
            <w:tcW w:w="4310" w:type="dxa"/>
            <w:vAlign w:val="center"/>
          </w:tcPr>
          <w:p w14:paraId="21211D8F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航向符号、杆臂误差和迟滞是否方向相关</w:t>
            </w:r>
          </w:p>
        </w:tc>
      </w:tr>
      <w:tr w14:paraId="2CAE786E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700" w:type="dxa"/>
            <w:vAlign w:val="center"/>
          </w:tcPr>
          <w:p w14:paraId="78934E7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T06</w:t>
            </w:r>
          </w:p>
        </w:tc>
        <w:tc>
          <w:tcPr>
            <w:tcW w:w="1800" w:type="dxa"/>
            <w:vAlign w:val="center"/>
          </w:tcPr>
          <w:p w14:paraId="60E4838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牛耕式轨迹</w:t>
            </w:r>
          </w:p>
        </w:tc>
        <w:tc>
          <w:tcPr>
            <w:tcW w:w="2550" w:type="dxa"/>
            <w:vAlign w:val="center"/>
          </w:tcPr>
          <w:p w14:paraId="4C9F1ED9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至少两条长直线和完整掉头</w:t>
            </w:r>
          </w:p>
        </w:tc>
        <w:tc>
          <w:tcPr>
            <w:tcW w:w="4310" w:type="dxa"/>
            <w:vAlign w:val="center"/>
          </w:tcPr>
          <w:p w14:paraId="54213DC0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aligned→locked时刻；直线冻结θ；掉头后残差</w:t>
            </w:r>
          </w:p>
        </w:tc>
      </w:tr>
      <w:tr w14:paraId="04012B50">
        <w:tc>
          <w:tcPr>
            <w:tcW w:w="700" w:type="dxa"/>
            <w:vAlign w:val="center"/>
          </w:tcPr>
          <w:p w14:paraId="36E24708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T07</w:t>
            </w:r>
          </w:p>
        </w:tc>
        <w:tc>
          <w:tcPr>
            <w:tcW w:w="1800" w:type="dxa"/>
            <w:vAlign w:val="center"/>
          </w:tcPr>
          <w:p w14:paraId="7AD11B5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坡地直线</w:t>
            </w:r>
          </w:p>
        </w:tc>
        <w:tc>
          <w:tcPr>
            <w:tcW w:w="2550" w:type="dxa"/>
            <w:vAlign w:val="center"/>
          </w:tcPr>
          <w:p w14:paraId="59C88658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沿坡上/下行驶</w:t>
            </w:r>
          </w:p>
        </w:tc>
        <w:tc>
          <w:tcPr>
            <w:tcW w:w="4310" w:type="dxa"/>
            <w:vAlign w:val="center"/>
          </w:tcPr>
          <w:p w14:paraId="0DA45D6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dxy与d3D关系；z连续性；外参补偿</w:t>
            </w:r>
          </w:p>
        </w:tc>
      </w:tr>
      <w:tr w14:paraId="0DC49F9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700" w:type="dxa"/>
            <w:vAlign w:val="center"/>
          </w:tcPr>
          <w:p w14:paraId="60D8837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T08</w:t>
            </w:r>
          </w:p>
        </w:tc>
        <w:tc>
          <w:tcPr>
            <w:tcW w:w="1800" w:type="dxa"/>
            <w:vAlign w:val="center"/>
          </w:tcPr>
          <w:p w14:paraId="64EB1573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GPS失效</w:t>
            </w:r>
          </w:p>
        </w:tc>
        <w:tc>
          <w:tcPr>
            <w:tcW w:w="2550" w:type="dxa"/>
            <w:vAlign w:val="center"/>
          </w:tcPr>
          <w:p w14:paraId="5559486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遮挡天线或回放屏蔽GPS</w:t>
            </w:r>
          </w:p>
        </w:tc>
        <w:tc>
          <w:tcPr>
            <w:tcW w:w="4310" w:type="dxa"/>
            <w:vAlign w:val="center"/>
          </w:tcPr>
          <w:p w14:paraId="61AFBF80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5帧迟滞、4DoF冻结、state=2/5、切换跳变</w:t>
            </w:r>
          </w:p>
        </w:tc>
      </w:tr>
      <w:tr w14:paraId="599F8E0D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700" w:type="dxa"/>
            <w:vAlign w:val="center"/>
          </w:tcPr>
          <w:p w14:paraId="238BA1D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T09</w:t>
            </w:r>
          </w:p>
        </w:tc>
        <w:tc>
          <w:tcPr>
            <w:tcW w:w="1800" w:type="dxa"/>
            <w:vAlign w:val="center"/>
          </w:tcPr>
          <w:p w14:paraId="0F6F210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GPS恢复</w:t>
            </w:r>
          </w:p>
        </w:tc>
        <w:tc>
          <w:tcPr>
            <w:tcW w:w="2550" w:type="dxa"/>
            <w:vAlign w:val="center"/>
          </w:tcPr>
          <w:p w14:paraId="1E3B70E2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恢复正常信号</w:t>
            </w:r>
          </w:p>
        </w:tc>
        <w:tc>
          <w:tcPr>
            <w:tcW w:w="4310" w:type="dxa"/>
            <w:vAlign w:val="center"/>
          </w:tcPr>
          <w:p w14:paraId="76A4E8A6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22个连续合格样本后原子切回，候选期不拉动生产变换</w:t>
            </w:r>
          </w:p>
        </w:tc>
      </w:tr>
      <w:tr w14:paraId="1E80F4BE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700" w:type="dxa"/>
            <w:vAlign w:val="center"/>
          </w:tcPr>
          <w:p w14:paraId="1A6334CF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T10</w:t>
            </w:r>
          </w:p>
        </w:tc>
        <w:tc>
          <w:tcPr>
            <w:tcW w:w="1800" w:type="dxa"/>
            <w:vAlign w:val="center"/>
          </w:tcPr>
          <w:p w14:paraId="258D4CB5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fusion-only重启</w:t>
            </w:r>
          </w:p>
        </w:tc>
        <w:tc>
          <w:tcPr>
            <w:tcW w:w="2550" w:type="dxa"/>
            <w:vAlign w:val="center"/>
          </w:tcPr>
          <w:p w14:paraId="25608771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LIO持续运行，仅重启fusion</w:t>
            </w:r>
          </w:p>
        </w:tc>
        <w:tc>
          <w:tcPr>
            <w:tcW w:w="4310" w:type="dxa"/>
            <w:vAlign w:val="center"/>
          </w:tcPr>
          <w:p w14:paraId="7A7500E5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同代际.lio4d恢复；位置连续；停车与解除</w:t>
            </w:r>
          </w:p>
        </w:tc>
      </w:tr>
      <w:tr w14:paraId="5A7C90CF">
        <w:tc>
          <w:tcPr>
            <w:tcW w:w="700" w:type="dxa"/>
            <w:vAlign w:val="center"/>
          </w:tcPr>
          <w:p w14:paraId="56683713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T11</w:t>
            </w:r>
          </w:p>
        </w:tc>
        <w:tc>
          <w:tcPr>
            <w:tcW w:w="1800" w:type="dxa"/>
            <w:vAlign w:val="center"/>
          </w:tcPr>
          <w:p w14:paraId="006DD51C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FAST-LIO重启且GPS正常</w:t>
            </w:r>
          </w:p>
        </w:tc>
        <w:tc>
          <w:tcPr>
            <w:tcW w:w="2550" w:type="dxa"/>
            <w:vAlign w:val="center"/>
          </w:tcPr>
          <w:p w14:paraId="60BFFA4F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运行中重启/laserMapping</w:t>
            </w:r>
          </w:p>
        </w:tc>
        <w:tc>
          <w:tcPr>
            <w:tcW w:w="4310" w:type="dxa"/>
            <w:vAlign w:val="center"/>
          </w:tcPr>
          <w:p w14:paraId="5648F25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新代际检测、旧4DoF作废、重新静态和对齐</w:t>
            </w:r>
          </w:p>
        </w:tc>
      </w:tr>
      <w:tr w14:paraId="0B628135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700" w:type="dxa"/>
            <w:vAlign w:val="center"/>
          </w:tcPr>
          <w:p w14:paraId="6AC6F014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T12</w:t>
            </w:r>
          </w:p>
        </w:tc>
        <w:tc>
          <w:tcPr>
            <w:tcW w:w="1800" w:type="dxa"/>
            <w:vAlign w:val="center"/>
          </w:tcPr>
          <w:p w14:paraId="1DFF0F36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FAST-LIO重启且GPS异常</w:t>
            </w:r>
          </w:p>
        </w:tc>
        <w:tc>
          <w:tcPr>
            <w:tcW w:w="2550" w:type="dxa"/>
            <w:vAlign w:val="center"/>
          </w:tcPr>
          <w:p w14:paraId="4BA60EE8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GPS不可用时重启LIO</w:t>
            </w:r>
          </w:p>
        </w:tc>
        <w:tc>
          <w:tcPr>
            <w:tcW w:w="4310" w:type="dxa"/>
            <w:vAlign w:val="center"/>
          </w:tcPr>
          <w:p w14:paraId="79A27CC4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不得套用旧变换，应持续停车</w:t>
            </w:r>
          </w:p>
        </w:tc>
      </w:tr>
      <w:tr w14:paraId="6F5035AF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700" w:type="dxa"/>
            <w:vAlign w:val="center"/>
          </w:tcPr>
          <w:p w14:paraId="21BC794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T13</w:t>
            </w:r>
          </w:p>
        </w:tc>
        <w:tc>
          <w:tcPr>
            <w:tcW w:w="1800" w:type="dxa"/>
            <w:vAlign w:val="center"/>
          </w:tcPr>
          <w:p w14:paraId="4E219F4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地图文件异常</w:t>
            </w:r>
          </w:p>
        </w:tc>
        <w:tc>
          <w:tcPr>
            <w:tcW w:w="2550" w:type="dxa"/>
            <w:vAlign w:val="center"/>
          </w:tcPr>
          <w:p w14:paraId="0290525C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缺失、截断或非法值</w:t>
            </w:r>
          </w:p>
        </w:tc>
        <w:tc>
          <w:tcPr>
            <w:tcW w:w="4310" w:type="dxa"/>
            <w:vAlign w:val="center"/>
          </w:tcPr>
          <w:p w14:paraId="1FD31DF1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定位模式拒绝启动，不产生伪全局位置</w:t>
            </w:r>
          </w:p>
        </w:tc>
      </w:tr>
      <w:tr w14:paraId="24BDC4F1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700" w:type="dxa"/>
            <w:vAlign w:val="center"/>
          </w:tcPr>
          <w:p w14:paraId="4246202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T14</w:t>
            </w:r>
          </w:p>
        </w:tc>
        <w:tc>
          <w:tcPr>
            <w:tcW w:w="1800" w:type="dxa"/>
            <w:vAlign w:val="center"/>
          </w:tcPr>
          <w:p w14:paraId="494374D8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纯LIO模式边界</w:t>
            </w:r>
          </w:p>
        </w:tc>
        <w:tc>
          <w:tcPr>
            <w:tcW w:w="2550" w:type="dxa"/>
            <w:vAlign w:val="center"/>
          </w:tcPr>
          <w:p w14:paraId="4599517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4DoF建立前后分别启用pub_fusion=3</w:t>
            </w:r>
          </w:p>
        </w:tc>
        <w:tc>
          <w:tcPr>
            <w:tcW w:w="4310" w:type="dxa"/>
            <w:vAlign w:val="center"/>
          </w:tcPr>
          <w:p w14:paraId="5E04E5F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确认当前风险；修复后应在未对齐时禁止有效发布</w:t>
            </w:r>
          </w:p>
        </w:tc>
      </w:tr>
    </w:tbl>
    <w:p w14:paraId="553ACB93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9.6 现场事件标注</w:t>
      </w:r>
    </w:p>
    <w:p w14:paraId="1E8567AE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为了让离线分析能够精确对应现场，建议在日志中记录或另建文本：</w:t>
      </w:r>
    </w:p>
    <w:p w14:paraId="29E83315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测试开始时间：</w:t>
      </w:r>
    </w:p>
    <w:p w14:paraId="03105C22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车辆开始移动时间：</w:t>
      </w:r>
    </w:p>
    <w:p w14:paraId="571F16B2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进入标定直线时间：</w:t>
      </w:r>
    </w:p>
    <w:p w14:paraId="6539603D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直线停车时间：</w:t>
      </w:r>
    </w:p>
    <w:p w14:paraId="2057F349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第一次转弯开始/结束时间：</w:t>
      </w:r>
    </w:p>
    <w:p w14:paraId="094081BD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GPS遮挡开始/结束时间：</w:t>
      </w:r>
    </w:p>
    <w:p w14:paraId="576BEFD9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fusion-only重启时间：</w:t>
      </w:r>
    </w:p>
    <w:p w14:paraId="4158A26B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FAST-LIO重启时间：</w:t>
      </w:r>
    </w:p>
    <w:p w14:paraId="7BBC844E">
      <w:pPr>
        <w:pStyle w:val="26"/>
        <w:bidi w:val="0"/>
        <w:spacing w:before="0" w:after="283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异常现象描述：</w:t>
      </w:r>
    </w:p>
    <w:p w14:paraId="3B40A415">
      <w:pPr>
        <w:pStyle w:val="2"/>
        <w:pBdr>
          <w:bottom w:val="single" w:color="4F81BD" w:sz="12" w:space="5"/>
        </w:pBdr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第十章 指标计算、评估方法和问题定位</w:t>
      </w:r>
    </w:p>
    <w:p w14:paraId="5CA6FA5C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10.1 基础数据质量</w:t>
      </w:r>
    </w:p>
    <w:tbl>
      <w:tblPr>
        <w:tblStyle w:val="13"/>
        <w:tblW w:w="9360" w:type="dxa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90"/>
        <w:gridCol w:w="2823"/>
        <w:gridCol w:w="3447"/>
      </w:tblGrid>
      <w:tr w14:paraId="77F98508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3090" w:type="dxa"/>
            <w:vAlign w:val="center"/>
          </w:tcPr>
          <w:p w14:paraId="0E3FA425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指标</w:t>
            </w:r>
          </w:p>
        </w:tc>
        <w:tc>
          <w:tcPr>
            <w:tcW w:w="2823" w:type="dxa"/>
            <w:vAlign w:val="center"/>
          </w:tcPr>
          <w:p w14:paraId="6E6A41A2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计算或检查方法</w:t>
            </w:r>
          </w:p>
        </w:tc>
        <w:tc>
          <w:tcPr>
            <w:tcW w:w="3447" w:type="dxa"/>
            <w:vAlign w:val="center"/>
          </w:tcPr>
          <w:p w14:paraId="4358D16A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当前代码门限/参考</w:t>
            </w:r>
          </w:p>
        </w:tc>
      </w:tr>
      <w:tr w14:paraId="6DEACBC9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3090" w:type="dxa"/>
            <w:vAlign w:val="center"/>
          </w:tcPr>
          <w:p w14:paraId="1EBEFCD3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IMU频率与最大间隔</w:t>
            </w:r>
          </w:p>
        </w:tc>
        <w:tc>
          <w:tcPr>
            <w:tcW w:w="2823" w:type="dxa"/>
            <w:vAlign w:val="center"/>
          </w:tcPr>
          <w:p w14:paraId="1D11AF95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统计/livox/imu时间戳差</w:t>
            </w:r>
          </w:p>
        </w:tc>
        <w:tc>
          <w:tcPr>
            <w:tcW w:w="3447" w:type="dxa"/>
            <w:vAlign w:val="center"/>
          </w:tcPr>
          <w:p w14:paraId="30BBF80F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初始化期间间隔≤0.10 s</w:t>
            </w:r>
          </w:p>
        </w:tc>
      </w:tr>
      <w:tr w14:paraId="58CBA3C9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3090" w:type="dxa"/>
            <w:vAlign w:val="center"/>
          </w:tcPr>
          <w:p w14:paraId="7C5509C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GPS-LIO同步差</w:t>
            </w:r>
          </w:p>
        </w:tc>
        <w:tc>
          <w:tcPr>
            <w:tcW w:w="2823" w:type="dxa"/>
            <w:vAlign w:val="center"/>
          </w:tcPr>
          <w:p w14:paraId="397F266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|tGPS−tLIO|分布</w:t>
            </w:r>
          </w:p>
        </w:tc>
        <w:tc>
          <w:tcPr>
            <w:tcW w:w="3447" w:type="dxa"/>
            <w:vAlign w:val="center"/>
          </w:tcPr>
          <w:p w14:paraId="7A6B5EE8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配对必须≤0.05 s</w:t>
            </w:r>
          </w:p>
        </w:tc>
      </w:tr>
      <w:tr w14:paraId="33919B5E">
        <w:tc>
          <w:tcPr>
            <w:tcW w:w="3090" w:type="dxa"/>
            <w:vAlign w:val="center"/>
          </w:tcPr>
          <w:p w14:paraId="148D5B75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GPS输出频率</w:t>
            </w:r>
          </w:p>
        </w:tc>
        <w:tc>
          <w:tcPr>
            <w:tcW w:w="2823" w:type="dxa"/>
            <w:vAlign w:val="center"/>
          </w:tcPr>
          <w:p w14:paraId="10EDB382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DRPVAA消息时间差</w:t>
            </w:r>
          </w:p>
        </w:tc>
        <w:tc>
          <w:tcPr>
            <w:tcW w:w="3447" w:type="dxa"/>
            <w:vAlign w:val="center"/>
          </w:tcPr>
          <w:p w14:paraId="5D34C28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配置目标20 Hz</w:t>
            </w:r>
          </w:p>
        </w:tc>
      </w:tr>
      <w:tr w14:paraId="2459A2D6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3090" w:type="dxa"/>
            <w:vAlign w:val="center"/>
          </w:tcPr>
          <w:p w14:paraId="234B7D5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IMUATTA/GNGGA新鲜度</w:t>
            </w:r>
          </w:p>
        </w:tc>
        <w:tc>
          <w:tcPr>
            <w:tcW w:w="2823" w:type="dxa"/>
            <w:vAlign w:val="center"/>
          </w:tcPr>
          <w:p w14:paraId="7D3DD3E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缓存年龄和过期次数</w:t>
            </w:r>
          </w:p>
        </w:tc>
        <w:tc>
          <w:tcPr>
            <w:tcW w:w="3447" w:type="dxa"/>
            <w:vAlign w:val="center"/>
          </w:tcPr>
          <w:p w14:paraId="52B67368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当前接收频率1 Hz，按代码超时门控</w:t>
            </w:r>
          </w:p>
        </w:tc>
      </w:tr>
    </w:tbl>
    <w:p w14:paraId="4C43C85B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10.2 位移与尺度评估</w:t>
      </w:r>
    </w:p>
    <w:p w14:paraId="2F0575AE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对统一起止时刻分别计算：</w:t>
      </w:r>
    </w:p>
    <w:p w14:paraId="07A4A6D5">
      <w:pPr>
        <w:pStyle w:val="4"/>
        <w:bidi w:val="0"/>
        <w:spacing w:before="90" w:after="0"/>
        <w:jc w:val="center"/>
        <w:rPr>
          <w:rFonts w:hint="default" w:ascii="Ubuntu" w:hAnsi="Ubuntu" w:cs="Ubuntu" w:eastAsiaTheme="minorEastAsia"/>
          <w:sz w:val="23"/>
        </w:rPr>
      </w:pPr>
      <w:r>
        <w:rPr>
          <w:rFonts w:hint="default" w:ascii="Ubuntu" w:hAnsi="Ubuntu" w:cs="Ubuntu" w:eastAsiaTheme="minorEastAsia"/>
          <w:sz w:val="23"/>
        </w:rPr>
        <w:t>d</w:t>
      </w:r>
      <w:r>
        <w:rPr>
          <w:rFonts w:hint="default" w:ascii="Ubuntu" w:hAnsi="Ubuntu" w:cs="Ubuntu" w:eastAsiaTheme="minorEastAsia"/>
          <w:position w:val="-2"/>
          <w:sz w:val="23"/>
        </w:rPr>
        <w:t>xy</w:t>
      </w:r>
      <w:r>
        <w:rPr>
          <w:rFonts w:hint="default" w:ascii="Ubuntu" w:hAnsi="Ubuntu" w:cs="Ubuntu" w:eastAsiaTheme="minorEastAsia"/>
          <w:sz w:val="23"/>
        </w:rPr>
        <w:t xml:space="preserve"> = √[(x₂−x₁)²+(y₂−y₁)²]</w:t>
      </w:r>
    </w:p>
    <w:p w14:paraId="0F9F6D9E">
      <w:pPr>
        <w:pStyle w:val="4"/>
        <w:bidi w:val="0"/>
        <w:jc w:val="center"/>
        <w:rPr>
          <w:rFonts w:hint="default" w:ascii="Ubuntu" w:hAnsi="Ubuntu" w:cs="Ubuntu" w:eastAsiaTheme="minorEastAsia"/>
          <w:sz w:val="23"/>
        </w:rPr>
      </w:pPr>
      <w:r>
        <w:rPr>
          <w:rFonts w:hint="default" w:ascii="Ubuntu" w:hAnsi="Ubuntu" w:cs="Ubuntu" w:eastAsiaTheme="minorEastAsia"/>
          <w:sz w:val="23"/>
        </w:rPr>
        <w:t>d</w:t>
      </w:r>
      <w:r>
        <w:rPr>
          <w:rFonts w:hint="default" w:ascii="Ubuntu" w:hAnsi="Ubuntu" w:cs="Ubuntu" w:eastAsiaTheme="minorEastAsia"/>
          <w:position w:val="-2"/>
          <w:sz w:val="23"/>
        </w:rPr>
        <w:t>3D</w:t>
      </w:r>
      <w:r>
        <w:rPr>
          <w:rFonts w:hint="default" w:ascii="Ubuntu" w:hAnsi="Ubuntu" w:cs="Ubuntu" w:eastAsiaTheme="minorEastAsia"/>
          <w:sz w:val="23"/>
        </w:rPr>
        <w:t xml:space="preserve"> = √[(x₂−x₁)²+(y₂−y₁)²+(z₂−z₁)²]</w:t>
      </w:r>
    </w:p>
    <w:p w14:paraId="0E38C129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相对参考距离L</w:t>
      </w:r>
      <w:r>
        <w:rPr>
          <w:rFonts w:hint="default" w:ascii="Ubuntu" w:hAnsi="Ubuntu" w:cs="Ubuntu" w:eastAsiaTheme="minorEastAsia"/>
          <w:position w:val="-2"/>
          <w:sz w:val="17"/>
        </w:rPr>
        <w:t>ref</w:t>
      </w:r>
      <w:r>
        <w:rPr>
          <w:rFonts w:hint="default" w:ascii="Ubuntu" w:hAnsi="Ubuntu" w:cs="Ubuntu" w:eastAsiaTheme="minorEastAsia"/>
        </w:rPr>
        <w:t>的比例：</w:t>
      </w:r>
    </w:p>
    <w:p w14:paraId="0613A445">
      <w:pPr>
        <w:pStyle w:val="4"/>
        <w:bidi w:val="0"/>
        <w:jc w:val="center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  <w:sz w:val="23"/>
        </w:rPr>
        <w:t>k = d/L</w:t>
      </w:r>
      <w:r>
        <w:rPr>
          <w:rFonts w:hint="default" w:ascii="Ubuntu" w:hAnsi="Ubuntu" w:cs="Ubuntu" w:eastAsiaTheme="minorEastAsia"/>
          <w:position w:val="-2"/>
          <w:sz w:val="23"/>
        </w:rPr>
        <w:t>ref</w:t>
      </w:r>
      <w:r>
        <w:rPr>
          <w:rFonts w:hint="default" w:ascii="Ubuntu" w:hAnsi="Ubuntu" w:cs="Ubuntu" w:eastAsiaTheme="minorEastAsia"/>
          <w:sz w:val="23"/>
        </w:rPr>
        <w:t>，</w:t>
      </w:r>
      <w:r>
        <w:rPr>
          <w:rFonts w:hint="default" w:ascii="Ubuntu" w:hAnsi="Ubuntu" w:cs="Ubuntu" w:eastAsiaTheme="minorEastAsia"/>
          <w:sz w:val="23"/>
        </w:rPr>
        <w:t>e</w:t>
      </w:r>
      <w:r>
        <w:rPr>
          <w:rFonts w:hint="default" w:ascii="Ubuntu" w:hAnsi="Ubuntu" w:cs="Ubuntu" w:eastAsiaTheme="minorEastAsia"/>
          <w:position w:val="-2"/>
          <w:sz w:val="23"/>
        </w:rPr>
        <w:t>scale</w:t>
      </w:r>
      <w:r>
        <w:rPr>
          <w:rFonts w:hint="default" w:ascii="Ubuntu" w:hAnsi="Ubuntu" w:cs="Ubuntu" w:eastAsiaTheme="minorEastAsia"/>
          <w:sz w:val="23"/>
        </w:rPr>
        <w:t>=(d−L</w:t>
      </w:r>
      <w:r>
        <w:rPr>
          <w:rFonts w:hint="default" w:ascii="Ubuntu" w:hAnsi="Ubuntu" w:cs="Ubuntu" w:eastAsiaTheme="minorEastAsia"/>
          <w:position w:val="-2"/>
          <w:sz w:val="23"/>
        </w:rPr>
        <w:t>ref</w:t>
      </w:r>
      <w:r>
        <w:rPr>
          <w:rFonts w:hint="default" w:ascii="Ubuntu" w:hAnsi="Ubuntu" w:cs="Ubuntu" w:eastAsiaTheme="minorEastAsia"/>
          <w:sz w:val="23"/>
        </w:rPr>
        <w:t>)/L</w:t>
      </w:r>
      <w:r>
        <w:rPr>
          <w:rFonts w:hint="default" w:ascii="Ubuntu" w:hAnsi="Ubuntu" w:cs="Ubuntu" w:eastAsiaTheme="minorEastAsia"/>
          <w:position w:val="-2"/>
          <w:sz w:val="23"/>
        </w:rPr>
        <w:t>ref</w:t>
      </w:r>
    </w:p>
    <w:p w14:paraId="7D1C47B0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如果只有GPS和LIO，应该报告两者差异而不是“LIO误差”：</w:t>
      </w:r>
    </w:p>
    <w:p w14:paraId="1085725C">
      <w:pPr>
        <w:pStyle w:val="4"/>
        <w:bidi w:val="0"/>
        <w:jc w:val="center"/>
        <w:rPr>
          <w:rFonts w:hint="default" w:ascii="Ubuntu" w:hAnsi="Ubuntu" w:cs="Ubuntu" w:eastAsiaTheme="minorEastAsia"/>
          <w:sz w:val="23"/>
        </w:rPr>
      </w:pPr>
      <w:r>
        <w:rPr>
          <w:rFonts w:hint="default" w:ascii="Ubuntu" w:hAnsi="Ubuntu" w:cs="Ubuntu" w:eastAsiaTheme="minorEastAsia"/>
          <w:sz w:val="23"/>
        </w:rPr>
        <w:t>Δd = d</w:t>
      </w:r>
      <w:r>
        <w:rPr>
          <w:rFonts w:hint="default" w:ascii="Ubuntu" w:hAnsi="Ubuntu" w:cs="Ubuntu" w:eastAsiaTheme="minorEastAsia"/>
          <w:position w:val="-2"/>
          <w:sz w:val="23"/>
        </w:rPr>
        <w:t>GPS</w:t>
      </w:r>
      <w:r>
        <w:rPr>
          <w:rFonts w:hint="default" w:ascii="Ubuntu" w:hAnsi="Ubuntu" w:cs="Ubuntu" w:eastAsiaTheme="minorEastAsia"/>
          <w:sz w:val="23"/>
        </w:rPr>
        <w:t>−d</w:t>
      </w:r>
      <w:r>
        <w:rPr>
          <w:rFonts w:hint="default" w:ascii="Ubuntu" w:hAnsi="Ubuntu" w:cs="Ubuntu" w:eastAsiaTheme="minorEastAsia"/>
          <w:position w:val="-2"/>
          <w:sz w:val="23"/>
        </w:rPr>
        <w:t>LIO</w:t>
      </w:r>
    </w:p>
    <w:p w14:paraId="00CA5CEF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只有存在独立参考时，才可以确定哪一方更接近真实距离。</w:t>
      </w:r>
    </w:p>
    <w:p w14:paraId="76CB6D8F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10.3 速度与停车漂移</w:t>
      </w:r>
    </w:p>
    <w:p w14:paraId="44562797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使用中心差分或固定时间窗计算速度，避免单帧噪声：</w:t>
      </w:r>
    </w:p>
    <w:p w14:paraId="7B77B6F7">
      <w:pPr>
        <w:pStyle w:val="4"/>
        <w:bidi w:val="0"/>
        <w:jc w:val="center"/>
        <w:rPr>
          <w:rFonts w:hint="default" w:ascii="Ubuntu" w:hAnsi="Ubuntu" w:cs="Ubuntu" w:eastAsiaTheme="minorEastAsia"/>
          <w:sz w:val="23"/>
        </w:rPr>
      </w:pPr>
      <w:r>
        <w:rPr>
          <w:rFonts w:hint="default" w:ascii="Ubuntu" w:hAnsi="Ubuntu" w:cs="Ubuntu" w:eastAsiaTheme="minorEastAsia"/>
          <w:sz w:val="23"/>
        </w:rPr>
        <w:t>v</w:t>
      </w:r>
      <w:r>
        <w:rPr>
          <w:rFonts w:hint="default" w:ascii="Ubuntu" w:hAnsi="Ubuntu" w:cs="Ubuntu" w:eastAsiaTheme="minorEastAsia"/>
          <w:position w:val="-2"/>
          <w:sz w:val="23"/>
        </w:rPr>
        <w:t>i</w:t>
      </w:r>
      <w:r>
        <w:rPr>
          <w:rFonts w:hint="default" w:ascii="Ubuntu" w:hAnsi="Ubuntu" w:cs="Ubuntu" w:eastAsiaTheme="minorEastAsia"/>
          <w:sz w:val="23"/>
        </w:rPr>
        <w:t xml:space="preserve"> = ||p(t</w:t>
      </w:r>
      <w:r>
        <w:rPr>
          <w:rFonts w:hint="default" w:ascii="Ubuntu" w:hAnsi="Ubuntu" w:cs="Ubuntu" w:eastAsiaTheme="minorEastAsia"/>
          <w:position w:val="-2"/>
          <w:sz w:val="23"/>
        </w:rPr>
        <w:t>i+N</w:t>
      </w:r>
      <w:r>
        <w:rPr>
          <w:rFonts w:hint="default" w:ascii="Ubuntu" w:hAnsi="Ubuntu" w:cs="Ubuntu" w:eastAsiaTheme="minorEastAsia"/>
          <w:sz w:val="23"/>
        </w:rPr>
        <w:t>)−p(t</w:t>
      </w:r>
      <w:r>
        <w:rPr>
          <w:rFonts w:hint="default" w:ascii="Ubuntu" w:hAnsi="Ubuntu" w:cs="Ubuntu" w:eastAsiaTheme="minorEastAsia"/>
          <w:position w:val="-2"/>
          <w:sz w:val="23"/>
        </w:rPr>
        <w:t>i−N</w:t>
      </w:r>
      <w:r>
        <w:rPr>
          <w:rFonts w:hint="default" w:ascii="Ubuntu" w:hAnsi="Ubuntu" w:cs="Ubuntu" w:eastAsiaTheme="minorEastAsia"/>
          <w:sz w:val="23"/>
        </w:rPr>
        <w:t>)||/(t</w:t>
      </w:r>
      <w:r>
        <w:rPr>
          <w:rFonts w:hint="default" w:ascii="Ubuntu" w:hAnsi="Ubuntu" w:cs="Ubuntu" w:eastAsiaTheme="minorEastAsia"/>
          <w:position w:val="-2"/>
          <w:sz w:val="23"/>
        </w:rPr>
        <w:t>i+N</w:t>
      </w:r>
      <w:r>
        <w:rPr>
          <w:rFonts w:hint="default" w:ascii="Ubuntu" w:hAnsi="Ubuntu" w:cs="Ubuntu" w:eastAsiaTheme="minorEastAsia"/>
          <w:sz w:val="23"/>
        </w:rPr>
        <w:t>−t</w:t>
      </w:r>
      <w:r>
        <w:rPr>
          <w:rFonts w:hint="default" w:ascii="Ubuntu" w:hAnsi="Ubuntu" w:cs="Ubuntu" w:eastAsiaTheme="minorEastAsia"/>
          <w:position w:val="-2"/>
          <w:sz w:val="23"/>
        </w:rPr>
        <w:t>i−N</w:t>
      </w:r>
      <w:r>
        <w:rPr>
          <w:rFonts w:hint="default" w:ascii="Ubuntu" w:hAnsi="Ubuntu" w:cs="Ubuntu" w:eastAsiaTheme="minorEastAsia"/>
          <w:sz w:val="23"/>
        </w:rPr>
        <w:t>)</w:t>
      </w:r>
    </w:p>
    <w:p w14:paraId="126FC546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停车后计算：</w:t>
      </w:r>
    </w:p>
    <w:p w14:paraId="656A54CC">
      <w:pPr>
        <w:pStyle w:val="4"/>
        <w:numPr>
          <w:ilvl w:val="0"/>
          <w:numId w:val="15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停车后1 s、3 s、10 s相对停车瞬间的最大位移。 </w:t>
      </w:r>
    </w:p>
    <w:p w14:paraId="3F482DCB">
      <w:pPr>
        <w:pStyle w:val="4"/>
        <w:numPr>
          <w:ilvl w:val="0"/>
          <w:numId w:val="15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停车窗口位置标准差和峰峰值。 </w:t>
      </w:r>
    </w:p>
    <w:p w14:paraId="7CEACE97">
      <w:pPr>
        <w:pStyle w:val="4"/>
        <w:numPr>
          <w:ilvl w:val="0"/>
          <w:numId w:val="15"/>
        </w:numPr>
        <w:tabs>
          <w:tab w:val="left" w:pos="799"/>
        </w:tabs>
        <w:bidi w:val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GPS、原始LIO、水平LIO、最终输出的前后方向与横向方向分量。 </w:t>
      </w:r>
    </w:p>
    <w:p w14:paraId="4A4550F4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10.4 4DoF拟合质量</w:t>
      </w:r>
    </w:p>
    <w:tbl>
      <w:tblPr>
        <w:tblStyle w:val="13"/>
        <w:tblW w:w="9360" w:type="dxa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82"/>
        <w:gridCol w:w="2822"/>
        <w:gridCol w:w="4156"/>
      </w:tblGrid>
      <w:tr w14:paraId="2775FE78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382" w:type="dxa"/>
            <w:vAlign w:val="center"/>
          </w:tcPr>
          <w:p w14:paraId="5E5FBD1E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指标</w:t>
            </w:r>
          </w:p>
        </w:tc>
        <w:tc>
          <w:tcPr>
            <w:tcW w:w="2822" w:type="dxa"/>
            <w:vAlign w:val="center"/>
          </w:tcPr>
          <w:p w14:paraId="69E35410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意义</w:t>
            </w:r>
          </w:p>
        </w:tc>
        <w:tc>
          <w:tcPr>
            <w:tcW w:w="4156" w:type="dxa"/>
            <w:vAlign w:val="center"/>
          </w:tcPr>
          <w:p w14:paraId="22024EED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代码告警/评价</w:t>
            </w:r>
          </w:p>
        </w:tc>
      </w:tr>
      <w:tr w14:paraId="5AEE62C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382" w:type="dxa"/>
            <w:vAlign w:val="center"/>
          </w:tcPr>
          <w:p w14:paraId="5265E2D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along_std</w:t>
            </w:r>
          </w:p>
        </w:tc>
        <w:tc>
          <w:tcPr>
            <w:tcW w:w="2822" w:type="dxa"/>
            <w:vAlign w:val="center"/>
          </w:tcPr>
          <w:p w14:paraId="06F39A01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是否形成足够沿迹基线</w:t>
            </w:r>
          </w:p>
        </w:tc>
        <w:tc>
          <w:tcPr>
            <w:tcW w:w="4156" w:type="dxa"/>
            <w:vAlign w:val="center"/>
          </w:tcPr>
          <w:p w14:paraId="7AC6C636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≥0.50 m可播种</w:t>
            </w:r>
          </w:p>
        </w:tc>
      </w:tr>
      <w:tr w14:paraId="031699F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382" w:type="dxa"/>
            <w:vAlign w:val="center"/>
          </w:tcPr>
          <w:p w14:paraId="657C9C9F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cross_std</w:t>
            </w:r>
          </w:p>
        </w:tc>
        <w:tc>
          <w:tcPr>
            <w:tcW w:w="2822" w:type="dxa"/>
            <w:vAlign w:val="center"/>
          </w:tcPr>
          <w:p w14:paraId="37C363E4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是否有足够二维转弯展布</w:t>
            </w:r>
          </w:p>
        </w:tc>
        <w:tc>
          <w:tcPr>
            <w:tcW w:w="4156" w:type="dxa"/>
            <w:vAlign w:val="center"/>
          </w:tcPr>
          <w:p w14:paraId="6988C123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≥0.10 m参与锁定</w:t>
            </w:r>
          </w:p>
        </w:tc>
      </w:tr>
      <w:tr w14:paraId="575407F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382" w:type="dxa"/>
            <w:vAlign w:val="center"/>
          </w:tcPr>
          <w:p w14:paraId="3087EC7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window_n</w:t>
            </w:r>
          </w:p>
        </w:tc>
        <w:tc>
          <w:tcPr>
            <w:tcW w:w="2822" w:type="dxa"/>
            <w:vAlign w:val="center"/>
          </w:tcPr>
          <w:p w14:paraId="06105A2F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样本支撑度</w:t>
            </w:r>
          </w:p>
        </w:tc>
        <w:tc>
          <w:tcPr>
            <w:tcW w:w="4156" w:type="dxa"/>
            <w:vAlign w:val="center"/>
          </w:tcPr>
          <w:p w14:paraId="23482AB1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锁定至少15</w:t>
            </w:r>
          </w:p>
        </w:tc>
      </w:tr>
      <w:tr w14:paraId="579797A5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382" w:type="dxa"/>
            <w:vAlign w:val="center"/>
          </w:tcPr>
          <w:p w14:paraId="61B98C56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residual_rms</w:t>
            </w:r>
          </w:p>
        </w:tc>
        <w:tc>
          <w:tcPr>
            <w:tcW w:w="2822" w:type="dxa"/>
            <w:vAlign w:val="center"/>
          </w:tcPr>
          <w:p w14:paraId="21C1004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GPS/LIO刚体一致性</w:t>
            </w:r>
          </w:p>
        </w:tc>
        <w:tc>
          <w:tcPr>
            <w:tcW w:w="4156" w:type="dxa"/>
            <w:vAlign w:val="center"/>
          </w:tcPr>
          <w:p w14:paraId="2987F028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代码在&gt;0.30 m时告警</w:t>
            </w:r>
          </w:p>
        </w:tc>
      </w:tr>
      <w:tr w14:paraId="1329E24D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382" w:type="dxa"/>
            <w:vAlign w:val="center"/>
          </w:tcPr>
          <w:p w14:paraId="31102F7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outlier_ratio</w:t>
            </w:r>
          </w:p>
        </w:tc>
        <w:tc>
          <w:tcPr>
            <w:tcW w:w="2822" w:type="dxa"/>
            <w:vAlign w:val="center"/>
          </w:tcPr>
          <w:p w14:paraId="6E450623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多路径或系统误差比例</w:t>
            </w:r>
          </w:p>
        </w:tc>
        <w:tc>
          <w:tcPr>
            <w:tcW w:w="4156" w:type="dxa"/>
            <w:vAlign w:val="center"/>
          </w:tcPr>
          <w:p w14:paraId="1FA62AD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代码在&gt;0.30时告警；多数异常时拒绝提交</w:t>
            </w:r>
          </w:p>
        </w:tc>
      </w:tr>
      <w:tr w14:paraId="59BD2E09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382" w:type="dxa"/>
            <w:vAlign w:val="center"/>
          </w:tcPr>
          <w:p w14:paraId="7DA9BC2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theta稳定性</w:t>
            </w:r>
          </w:p>
        </w:tc>
        <w:tc>
          <w:tcPr>
            <w:tcW w:w="2822" w:type="dxa"/>
            <w:vAlign w:val="center"/>
          </w:tcPr>
          <w:p w14:paraId="0CC5C090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长直线是否错误更新yaw</w:t>
            </w:r>
          </w:p>
        </w:tc>
        <w:tc>
          <w:tcPr>
            <w:tcW w:w="4156" w:type="dxa"/>
            <w:vAlign w:val="center"/>
          </w:tcPr>
          <w:p w14:paraId="3F9220C1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locked后直线应基本冻结</w:t>
            </w:r>
          </w:p>
        </w:tc>
      </w:tr>
    </w:tbl>
    <w:p w14:paraId="401378D2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10.5 竖直质量</w:t>
      </w:r>
    </w:p>
    <w:p w14:paraId="1F599D5C">
      <w:pPr>
        <w:pStyle w:val="4"/>
        <w:numPr>
          <w:ilvl w:val="0"/>
          <w:numId w:val="16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tz内点数≥10。 </w:t>
      </w:r>
    </w:p>
    <w:p w14:paraId="2BE26824">
      <w:pPr>
        <w:pStyle w:val="4"/>
        <w:numPr>
          <w:ilvl w:val="0"/>
          <w:numId w:val="16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内点占有效样本一半以上。 </w:t>
      </w:r>
    </w:p>
    <w:p w14:paraId="7E83F71C">
      <w:pPr>
        <w:pStyle w:val="4"/>
        <w:numPr>
          <w:ilvl w:val="0"/>
          <w:numId w:val="16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tz_std≤0.30 m。 </w:t>
      </w:r>
    </w:p>
    <w:p w14:paraId="53ECFE4A">
      <w:pPr>
        <w:pStyle w:val="4"/>
        <w:numPr>
          <w:ilvl w:val="0"/>
          <w:numId w:val="16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最终z在GPS正常/失效切换时不应逐帧跟随GNSS高程跳变。 </w:t>
      </w:r>
    </w:p>
    <w:p w14:paraId="54DAFCDC">
      <w:pPr>
        <w:pStyle w:val="4"/>
        <w:numPr>
          <w:ilvl w:val="0"/>
          <w:numId w:val="16"/>
        </w:numPr>
        <w:tabs>
          <w:tab w:val="left" w:pos="799"/>
        </w:tabs>
        <w:bidi w:val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坡道测试中，z变化应与独立高差或坡长/坡度关系一致。 </w:t>
      </w:r>
    </w:p>
    <w:p w14:paraId="18178965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10.6 姿态质量</w:t>
      </w:r>
    </w:p>
    <w:p w14:paraId="721216E7">
      <w:pPr>
        <w:pStyle w:val="4"/>
        <w:numPr>
          <w:ilvl w:val="0"/>
          <w:numId w:val="17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静止水平地面：校准后的roll/pitch均值应接近车辆真实安装姿态。 </w:t>
      </w:r>
    </w:p>
    <w:p w14:paraId="0CA92F56">
      <w:pPr>
        <w:pStyle w:val="4"/>
        <w:numPr>
          <w:ilvl w:val="0"/>
          <w:numId w:val="17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已知坡度：roll/pitch应与坡度方向和幅值一致。 </w:t>
      </w:r>
    </w:p>
    <w:p w14:paraId="7B122094">
      <w:pPr>
        <w:pStyle w:val="4"/>
        <w:numPr>
          <w:ilvl w:val="0"/>
          <w:numId w:val="17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INS-LIO差异：正常情况下应显著小于15°拒绝门限；持续接近门限说明轴向、安装角或时延可能错误。 </w:t>
      </w:r>
    </w:p>
    <w:p w14:paraId="7E6E6C18">
      <w:pPr>
        <w:pStyle w:val="4"/>
        <w:numPr>
          <w:ilvl w:val="0"/>
          <w:numId w:val="17"/>
        </w:numPr>
        <w:tabs>
          <w:tab w:val="left" w:pos="799"/>
        </w:tabs>
        <w:bidi w:val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朝正东时ENU yaw约0，朝正北时约+π/2；四个主方向都要测试，包括合法0°和90°边界。 </w:t>
      </w:r>
    </w:p>
    <w:p w14:paraId="4FD8A416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10.7 状态切换连续性</w:t>
      </w:r>
    </w:p>
    <w:p w14:paraId="5F92666B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分别计算GPS→LIO、LIO→GPS、fusion-only重启、FAST-LIO重启后重新对齐时的：</w:t>
      </w:r>
    </w:p>
    <w:p w14:paraId="70AEC04E">
      <w:pPr>
        <w:pStyle w:val="4"/>
        <w:numPr>
          <w:ilvl w:val="0"/>
          <w:numId w:val="18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切换前后第一帧位置跳变量。 </w:t>
      </w:r>
    </w:p>
    <w:p w14:paraId="293FC39F">
      <w:pPr>
        <w:pStyle w:val="4"/>
        <w:numPr>
          <w:ilvl w:val="0"/>
          <w:numId w:val="18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yaw跳变量。 </w:t>
      </w:r>
    </w:p>
    <w:p w14:paraId="671EB206">
      <w:pPr>
        <w:pStyle w:val="4"/>
        <w:numPr>
          <w:ilvl w:val="0"/>
          <w:numId w:val="18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roll/pitch跳变量。 </w:t>
      </w:r>
    </w:p>
    <w:p w14:paraId="590232CE">
      <w:pPr>
        <w:pStyle w:val="4"/>
        <w:numPr>
          <w:ilvl w:val="0"/>
          <w:numId w:val="18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速度尖峰。 </w:t>
      </w:r>
    </w:p>
    <w:p w14:paraId="34BFE2BC">
      <w:pPr>
        <w:pStyle w:val="4"/>
        <w:numPr>
          <w:ilvl w:val="0"/>
          <w:numId w:val="18"/>
        </w:numPr>
        <w:tabs>
          <w:tab w:val="left" w:pos="799"/>
        </w:tabs>
        <w:bidi w:val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是否在变换无效期间发布了position_state=1/2/5。 </w:t>
      </w:r>
    </w:p>
    <w:p w14:paraId="7B40BC42">
      <w:pPr>
        <w:pStyle w:val="4"/>
        <w:bidi w:val="0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这些项目的工程验收阈值应结合割草控制器允许误差制定。建议先以0.20 m位置跳变、3°姿态跳变作为分析告警线，而不是直接宣称为当前代码保证；最终阈值需要实车闭环安全评审确认。</w:t>
      </w:r>
    </w:p>
    <w:p w14:paraId="592F93CD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10.8 对已有位移差异的严谨判断</w:t>
      </w:r>
    </w:p>
    <w:p w14:paraId="6D96BB0C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对于12.414、12.777、12.470 m这组数据，正确结论只能是“GPS输出位移比两种LIO输出大约0.3 m”，不能据此确定GPS或LIO谁正确。后续应：</w:t>
      </w:r>
    </w:p>
    <w:p w14:paraId="77B8CD97">
      <w:pPr>
        <w:pStyle w:val="4"/>
        <w:numPr>
          <w:ilvl w:val="0"/>
          <w:numId w:val="19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确认三者起止时间和物理参考点完全一致。 </w:t>
      </w:r>
    </w:p>
    <w:p w14:paraId="49E7FB41">
      <w:pPr>
        <w:pStyle w:val="4"/>
        <w:numPr>
          <w:ilvl w:val="0"/>
          <w:numId w:val="19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同时计算dxy和d3D，排除坡度投影影响。 </w:t>
      </w:r>
    </w:p>
    <w:p w14:paraId="18CA848F">
      <w:pPr>
        <w:pStyle w:val="4"/>
        <w:numPr>
          <w:ilvl w:val="0"/>
          <w:numId w:val="19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检查GPS-LIO配对时间差与停车时延。 </w:t>
      </w:r>
    </w:p>
    <w:p w14:paraId="04CE994C">
      <w:pPr>
        <w:pStyle w:val="4"/>
        <w:numPr>
          <w:ilvl w:val="0"/>
          <w:numId w:val="19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用独立测量距离作为真值。 </w:t>
      </w:r>
    </w:p>
    <w:p w14:paraId="06005551">
      <w:pPr>
        <w:pStyle w:val="4"/>
        <w:numPr>
          <w:ilvl w:val="0"/>
          <w:numId w:val="19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多次往返，观察比例误差是否随方向、速度、坡度和卫星环境改变。 </w:t>
      </w:r>
    </w:p>
    <w:p w14:paraId="4AA21970">
      <w:pPr>
        <w:pStyle w:val="4"/>
        <w:numPr>
          <w:ilvl w:val="0"/>
          <w:numId w:val="19"/>
        </w:numPr>
        <w:tabs>
          <w:tab w:val="left" w:pos="799"/>
        </w:tabs>
        <w:bidi w:val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若误差随路程近似线性增长，优先排查尺度/时间；若随姿态或转弯改变，优先排查杆臂/外参；若只在遮挡区域改变，优先排查GNSS多路径。 </w:t>
      </w:r>
    </w:p>
    <w:p w14:paraId="0BBE1262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10.9 建议验收分级</w:t>
      </w:r>
    </w:p>
    <w:tbl>
      <w:tblPr>
        <w:tblStyle w:val="13"/>
        <w:tblW w:w="9360" w:type="dxa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38"/>
        <w:gridCol w:w="1885"/>
        <w:gridCol w:w="5837"/>
      </w:tblGrid>
      <w:tr w14:paraId="5A69002C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638" w:type="dxa"/>
            <w:vAlign w:val="center"/>
          </w:tcPr>
          <w:p w14:paraId="5A583B37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级别</w:t>
            </w:r>
          </w:p>
        </w:tc>
        <w:tc>
          <w:tcPr>
            <w:tcW w:w="1885" w:type="dxa"/>
            <w:vAlign w:val="center"/>
          </w:tcPr>
          <w:p w14:paraId="20808DC9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性质</w:t>
            </w:r>
          </w:p>
        </w:tc>
        <w:tc>
          <w:tcPr>
            <w:tcW w:w="5837" w:type="dxa"/>
            <w:vAlign w:val="center"/>
          </w:tcPr>
          <w:p w14:paraId="63BC8740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典型条件</w:t>
            </w:r>
          </w:p>
        </w:tc>
      </w:tr>
      <w:tr w14:paraId="03D2EC27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638" w:type="dxa"/>
            <w:vAlign w:val="center"/>
          </w:tcPr>
          <w:p w14:paraId="2B75A6E2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A：安全硬条件</w:t>
            </w:r>
          </w:p>
        </w:tc>
        <w:tc>
          <w:tcPr>
            <w:tcW w:w="1885" w:type="dxa"/>
            <w:vAlign w:val="center"/>
          </w:tcPr>
          <w:p w14:paraId="193FC010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必须满足，否则禁止作业</w:t>
            </w:r>
          </w:p>
        </w:tc>
        <w:tc>
          <w:tcPr>
            <w:tcW w:w="5837" w:type="dxa"/>
            <w:vAlign w:val="center"/>
          </w:tcPr>
          <w:p w14:paraId="4CBD6DA8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静态未完成不放行；地图无效不启动；新LIO代际不复用旧4DoF；无完整4DoF不发布正常全局位姿；GPS/LIO同时无效停车</w:t>
            </w:r>
          </w:p>
        </w:tc>
      </w:tr>
      <w:tr w14:paraId="4A8BDCFC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638" w:type="dxa"/>
            <w:vAlign w:val="center"/>
          </w:tcPr>
          <w:p w14:paraId="01F5481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B：算法质量条件</w:t>
            </w:r>
          </w:p>
        </w:tc>
        <w:tc>
          <w:tcPr>
            <w:tcW w:w="1885" w:type="dxa"/>
            <w:vAlign w:val="center"/>
          </w:tcPr>
          <w:p w14:paraId="2FF5C5BF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代码已有门限</w:t>
            </w:r>
          </w:p>
        </w:tc>
        <w:tc>
          <w:tcPr>
            <w:tcW w:w="5837" w:type="dxa"/>
            <w:vAlign w:val="center"/>
          </w:tcPr>
          <w:p w14:paraId="21C0FFE2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同步≤0.05 s；z_std≤0.30 m；水平多数异常拒绝；恢复连续22个合格样本</w:t>
            </w:r>
          </w:p>
        </w:tc>
      </w:tr>
      <w:tr w14:paraId="42F9BDEA">
        <w:tc>
          <w:tcPr>
            <w:tcW w:w="1638" w:type="dxa"/>
            <w:vAlign w:val="center"/>
          </w:tcPr>
          <w:p w14:paraId="1AC135F3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C：工程验收条件</w:t>
            </w:r>
          </w:p>
        </w:tc>
        <w:tc>
          <w:tcPr>
            <w:tcW w:w="1885" w:type="dxa"/>
            <w:vAlign w:val="center"/>
          </w:tcPr>
          <w:p w14:paraId="391DB199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需通过实测定版</w:t>
            </w:r>
          </w:p>
        </w:tc>
        <w:tc>
          <w:tcPr>
            <w:tcW w:w="5837" w:type="dxa"/>
            <w:vAlign w:val="center"/>
          </w:tcPr>
          <w:p w14:paraId="50BDFEA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绝对位置误差、直线尺度误差、停车漂移、切换跳变、控制横向误差</w:t>
            </w:r>
          </w:p>
        </w:tc>
      </w:tr>
    </w:tbl>
    <w:p w14:paraId="10A22DA9">
      <w:pPr>
        <w:pStyle w:val="2"/>
        <w:pBdr>
          <w:bottom w:val="single" w:color="4F81BD" w:sz="12" w:space="5"/>
        </w:pBdr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第十一章 软件包、文件、依赖与移植</w:t>
      </w:r>
    </w:p>
    <w:p w14:paraId="06A32B97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11.1 建议整体复制的源码目录</w:t>
      </w:r>
    </w:p>
    <w:p w14:paraId="3B4B8099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libo/lidar-slam-v2/src/util</w:t>
      </w:r>
    </w:p>
    <w:p w14:paraId="14F45361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libo/lidar-slam-v2/src/fast-lio</w:t>
      </w:r>
    </w:p>
    <w:p w14:paraId="4C241609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libo/lidar-slam-v2/src/fusion_4dof</w:t>
      </w:r>
    </w:p>
    <w:p w14:paraId="7A26444A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libo/lidar-slam-v2/src/android_manager_4dof</w:t>
      </w:r>
    </w:p>
    <w:p w14:paraId="0468C675">
      <w:pPr>
        <w:pStyle w:val="26"/>
        <w:bidi w:val="0"/>
        <w:spacing w:before="0" w:after="283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libo/1ant/src/pub_pos_yaw</w:t>
      </w:r>
    </w:p>
    <w:p w14:paraId="7260F1BF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不要只复制几个修改文件。fast_lio还依赖预处理、ikd-tree、消息、Thirdparty/GeographicLib和CMake配置；fusion与manager的launch、参数和测试也必须保持一致。</w:t>
      </w:r>
    </w:p>
    <w:p w14:paraId="31AEB19F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11.2 关键文件清单</w:t>
      </w:r>
    </w:p>
    <w:tbl>
      <w:tblPr>
        <w:tblStyle w:val="13"/>
        <w:tblW w:w="9360" w:type="dxa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31"/>
        <w:gridCol w:w="4217"/>
        <w:gridCol w:w="2712"/>
      </w:tblGrid>
      <w:tr w14:paraId="1B8F0275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431" w:type="dxa"/>
            <w:vAlign w:val="center"/>
          </w:tcPr>
          <w:p w14:paraId="3F0F767D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软件包</w:t>
            </w:r>
          </w:p>
        </w:tc>
        <w:tc>
          <w:tcPr>
            <w:tcW w:w="4217" w:type="dxa"/>
            <w:vAlign w:val="center"/>
          </w:tcPr>
          <w:p w14:paraId="60E41993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关键文件</w:t>
            </w:r>
          </w:p>
        </w:tc>
        <w:tc>
          <w:tcPr>
            <w:tcW w:w="2712" w:type="dxa"/>
            <w:vAlign w:val="center"/>
          </w:tcPr>
          <w:p w14:paraId="289D679D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作用</w:t>
            </w:r>
          </w:p>
        </w:tc>
      </w:tr>
      <w:tr w14:paraId="08A0BF20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431" w:type="dxa"/>
            <w:vMerge w:val="restart"/>
            <w:vAlign w:val="center"/>
          </w:tcPr>
          <w:p w14:paraId="4114CE5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fast_lio</w:t>
            </w:r>
          </w:p>
        </w:tc>
        <w:tc>
          <w:tcPr>
            <w:tcW w:w="4217" w:type="dxa"/>
            <w:vAlign w:val="center"/>
          </w:tcPr>
          <w:p w14:paraId="2B271252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include/imu_static_detector.h</w:t>
            </w:r>
          </w:p>
        </w:tc>
        <w:tc>
          <w:tcPr>
            <w:tcW w:w="2712" w:type="dxa"/>
            <w:vAlign w:val="center"/>
          </w:tcPr>
          <w:p w14:paraId="485FC278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连续静态检测</w:t>
            </w:r>
          </w:p>
        </w:tc>
      </w:tr>
      <w:tr w14:paraId="023D5E58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431" w:type="dxa"/>
            <w:vMerge w:val="continue"/>
            <w:vAlign w:val="center"/>
          </w:tcPr>
          <w:p w14:paraId="61943B64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217" w:type="dxa"/>
            <w:vAlign w:val="center"/>
          </w:tcPr>
          <w:p w14:paraId="2779FBAC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src/IMU_Processing.hpp</w:t>
            </w:r>
          </w:p>
        </w:tc>
        <w:tc>
          <w:tcPr>
            <w:tcW w:w="2712" w:type="dxa"/>
            <w:vAlign w:val="center"/>
          </w:tcPr>
          <w:p w14:paraId="0FE3EAC2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重力与陀螺零偏初始化</w:t>
            </w:r>
          </w:p>
        </w:tc>
      </w:tr>
      <w:tr w14:paraId="73FE9920">
        <w:tc>
          <w:tcPr>
            <w:tcW w:w="2431" w:type="dxa"/>
            <w:vMerge w:val="continue"/>
            <w:vAlign w:val="center"/>
          </w:tcPr>
          <w:p w14:paraId="6D827F80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217" w:type="dxa"/>
            <w:vAlign w:val="center"/>
          </w:tcPr>
          <w:p w14:paraId="14B3A166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include/gravity_leveling.h</w:t>
            </w:r>
          </w:p>
        </w:tc>
        <w:tc>
          <w:tcPr>
            <w:tcW w:w="2712" w:type="dxa"/>
            <w:vAlign w:val="center"/>
          </w:tcPr>
          <w:p w14:paraId="7F060896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R_H_W计算</w:t>
            </w:r>
          </w:p>
        </w:tc>
      </w:tr>
      <w:tr w14:paraId="6BFD40ED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431" w:type="dxa"/>
            <w:vMerge w:val="continue"/>
            <w:vAlign w:val="center"/>
          </w:tcPr>
          <w:p w14:paraId="185BEF1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217" w:type="dxa"/>
            <w:vAlign w:val="center"/>
          </w:tcPr>
          <w:p w14:paraId="71E2D958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src/laserMapping.cpp</w:t>
            </w:r>
          </w:p>
        </w:tc>
        <w:tc>
          <w:tcPr>
            <w:tcW w:w="2712" w:type="dxa"/>
            <w:vAlign w:val="center"/>
          </w:tcPr>
          <w:p w14:paraId="34E16F74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参数、话题、代际和水平位姿发布</w:t>
            </w:r>
          </w:p>
        </w:tc>
      </w:tr>
      <w:tr w14:paraId="0FE1DA3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431" w:type="dxa"/>
            <w:vMerge w:val="continue"/>
            <w:vAlign w:val="center"/>
          </w:tcPr>
          <w:p w14:paraId="1D1004E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217" w:type="dxa"/>
            <w:vAlign w:val="center"/>
          </w:tcPr>
          <w:p w14:paraId="4BE5134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config/mid360_config.yaml</w:t>
            </w:r>
          </w:p>
        </w:tc>
        <w:tc>
          <w:tcPr>
            <w:tcW w:w="2712" w:type="dxa"/>
            <w:vAlign w:val="center"/>
          </w:tcPr>
          <w:p w14:paraId="1D005564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IMU门限、时间偏移、LiDAR-IMU外参</w:t>
            </w:r>
          </w:p>
        </w:tc>
      </w:tr>
      <w:tr w14:paraId="4344AE40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431" w:type="dxa"/>
            <w:vMerge w:val="continue"/>
            <w:vAlign w:val="center"/>
          </w:tcPr>
          <w:p w14:paraId="60BD1140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217" w:type="dxa"/>
            <w:vAlign w:val="center"/>
          </w:tcPr>
          <w:p w14:paraId="349D318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CMakeLists.txt/package.xml</w:t>
            </w:r>
          </w:p>
        </w:tc>
        <w:tc>
          <w:tcPr>
            <w:tcW w:w="2712" w:type="dxa"/>
            <w:vAlign w:val="center"/>
          </w:tcPr>
          <w:p w14:paraId="5C78E4C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构建与依赖</w:t>
            </w:r>
          </w:p>
        </w:tc>
      </w:tr>
      <w:tr w14:paraId="197820C4">
        <w:tc>
          <w:tcPr>
            <w:tcW w:w="2431" w:type="dxa"/>
            <w:vMerge w:val="continue"/>
            <w:vAlign w:val="center"/>
          </w:tcPr>
          <w:p w14:paraId="5A44A904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217" w:type="dxa"/>
            <w:vAlign w:val="center"/>
          </w:tcPr>
          <w:p w14:paraId="58D51498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test/imu_static_detector_test.cpp</w:t>
            </w:r>
          </w:p>
        </w:tc>
        <w:tc>
          <w:tcPr>
            <w:tcW w:w="2712" w:type="dxa"/>
            <w:vAlign w:val="center"/>
          </w:tcPr>
          <w:p w14:paraId="5BD5CCE1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静态检测回归</w:t>
            </w:r>
          </w:p>
        </w:tc>
      </w:tr>
      <w:tr w14:paraId="5A270462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431" w:type="dxa"/>
            <w:vMerge w:val="continue"/>
            <w:vAlign w:val="center"/>
          </w:tcPr>
          <w:p w14:paraId="242234F1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217" w:type="dxa"/>
            <w:vAlign w:val="center"/>
          </w:tcPr>
          <w:p w14:paraId="64C1662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test/gravity_leveling_test.cpp</w:t>
            </w:r>
          </w:p>
        </w:tc>
        <w:tc>
          <w:tcPr>
            <w:tcW w:w="2712" w:type="dxa"/>
            <w:vAlign w:val="center"/>
          </w:tcPr>
          <w:p w14:paraId="4E5864C0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重力水平化回归</w:t>
            </w:r>
          </w:p>
        </w:tc>
      </w:tr>
      <w:tr w14:paraId="7305355C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431" w:type="dxa"/>
            <w:vMerge w:val="restart"/>
            <w:vAlign w:val="center"/>
          </w:tcPr>
          <w:p w14:paraId="35EB55E4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fusion_4dof</w:t>
            </w:r>
          </w:p>
        </w:tc>
        <w:tc>
          <w:tcPr>
            <w:tcW w:w="4217" w:type="dxa"/>
            <w:vAlign w:val="center"/>
          </w:tcPr>
          <w:p w14:paraId="5870742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src/fusion_4dof.cc</w:t>
            </w:r>
          </w:p>
        </w:tc>
        <w:tc>
          <w:tcPr>
            <w:tcW w:w="2712" w:type="dxa"/>
            <w:vAlign w:val="center"/>
          </w:tcPr>
          <w:p w14:paraId="4E88F1E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主状态机、地图、输出、重启</w:t>
            </w:r>
          </w:p>
        </w:tc>
      </w:tr>
      <w:tr w14:paraId="31A74F64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431" w:type="dxa"/>
            <w:vMerge w:val="continue"/>
            <w:vAlign w:val="center"/>
          </w:tcPr>
          <w:p w14:paraId="597AD7F9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217" w:type="dxa"/>
            <w:vAlign w:val="center"/>
          </w:tcPr>
          <w:p w14:paraId="40393D9C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src/global_fusion.cc</w:t>
            </w:r>
          </w:p>
        </w:tc>
        <w:tc>
          <w:tcPr>
            <w:tcW w:w="2712" w:type="dxa"/>
            <w:vAlign w:val="center"/>
          </w:tcPr>
          <w:p w14:paraId="7BDBAC1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水平与竖直4DoF估计</w:t>
            </w:r>
          </w:p>
        </w:tc>
      </w:tr>
      <w:tr w14:paraId="43BA55F2">
        <w:tc>
          <w:tcPr>
            <w:tcW w:w="2431" w:type="dxa"/>
            <w:vMerge w:val="continue"/>
            <w:vAlign w:val="center"/>
          </w:tcPr>
          <w:p w14:paraId="5AE17348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217" w:type="dxa"/>
            <w:vAlign w:val="center"/>
          </w:tcPr>
          <w:p w14:paraId="483E27A1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include/fusion/global_fusion.h</w:t>
            </w:r>
          </w:p>
        </w:tc>
        <w:tc>
          <w:tcPr>
            <w:tcW w:w="2712" w:type="dxa"/>
            <w:vAlign w:val="center"/>
          </w:tcPr>
          <w:p w14:paraId="38D56C31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估计器接口和状态</w:t>
            </w:r>
          </w:p>
        </w:tc>
      </w:tr>
      <w:tr w14:paraId="3861A239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431" w:type="dxa"/>
            <w:vMerge w:val="continue"/>
            <w:vAlign w:val="center"/>
          </w:tcPr>
          <w:p w14:paraId="45D09769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217" w:type="dxa"/>
            <w:vAlign w:val="center"/>
          </w:tcPr>
          <w:p w14:paraId="1AB815A0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include/fusion/ins_attitude_conversion.h</w:t>
            </w:r>
          </w:p>
        </w:tc>
        <w:tc>
          <w:tcPr>
            <w:tcW w:w="2712" w:type="dxa"/>
            <w:vAlign w:val="center"/>
          </w:tcPr>
          <w:p w14:paraId="568CE16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INS姿态转换</w:t>
            </w:r>
          </w:p>
        </w:tc>
      </w:tr>
      <w:tr w14:paraId="291B1BC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431" w:type="dxa"/>
            <w:vMerge w:val="continue"/>
            <w:vAlign w:val="center"/>
          </w:tcPr>
          <w:p w14:paraId="47656F9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217" w:type="dxa"/>
            <w:vAlign w:val="center"/>
          </w:tcPr>
          <w:p w14:paraId="7619AA62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include/fusion/alignment_state.h</w:t>
            </w:r>
          </w:p>
        </w:tc>
        <w:tc>
          <w:tcPr>
            <w:tcW w:w="2712" w:type="dxa"/>
            <w:vAlign w:val="center"/>
          </w:tcPr>
          <w:p w14:paraId="34F28C5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.lio4d持久化格式</w:t>
            </w:r>
          </w:p>
        </w:tc>
      </w:tr>
      <w:tr w14:paraId="187A612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431" w:type="dxa"/>
            <w:vMerge w:val="continue"/>
            <w:vAlign w:val="center"/>
          </w:tcPr>
          <w:p w14:paraId="3B7A36E3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217" w:type="dxa"/>
            <w:vAlign w:val="center"/>
          </w:tcPr>
          <w:p w14:paraId="5CE8CF2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config/fusion_4dof_params.yaml</w:t>
            </w:r>
          </w:p>
        </w:tc>
        <w:tc>
          <w:tcPr>
            <w:tcW w:w="2712" w:type="dxa"/>
            <w:vAlign w:val="center"/>
          </w:tcPr>
          <w:p w14:paraId="219DE3A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运行参数唯一来源</w:t>
            </w:r>
          </w:p>
        </w:tc>
      </w:tr>
      <w:tr w14:paraId="4B63F242">
        <w:tc>
          <w:tcPr>
            <w:tcW w:w="2431" w:type="dxa"/>
            <w:vMerge w:val="continue"/>
            <w:vAlign w:val="center"/>
          </w:tcPr>
          <w:p w14:paraId="3102CFEF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217" w:type="dxa"/>
            <w:vAlign w:val="center"/>
          </w:tcPr>
          <w:p w14:paraId="3D13D39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launch/create_mode_4dof.launch</w:t>
            </w:r>
          </w:p>
        </w:tc>
        <w:tc>
          <w:tcPr>
            <w:tcW w:w="2712" w:type="dxa"/>
            <w:vAlign w:val="center"/>
          </w:tcPr>
          <w:p w14:paraId="2CB814F8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建图模式</w:t>
            </w:r>
          </w:p>
        </w:tc>
      </w:tr>
      <w:tr w14:paraId="72DDAFF5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431" w:type="dxa"/>
            <w:vMerge w:val="continue"/>
            <w:vAlign w:val="center"/>
          </w:tcPr>
          <w:p w14:paraId="5EEC38F8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217" w:type="dxa"/>
            <w:vAlign w:val="center"/>
          </w:tcPr>
          <w:p w14:paraId="21FFC0F3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launch/location_mode_4dof.launch</w:t>
            </w:r>
          </w:p>
        </w:tc>
        <w:tc>
          <w:tcPr>
            <w:tcW w:w="2712" w:type="dxa"/>
            <w:vAlign w:val="center"/>
          </w:tcPr>
          <w:p w14:paraId="48469790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定位模式</w:t>
            </w:r>
          </w:p>
        </w:tc>
      </w:tr>
      <w:tr w14:paraId="3672EE9F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431" w:type="dxa"/>
            <w:vMerge w:val="continue"/>
            <w:vAlign w:val="center"/>
          </w:tcPr>
          <w:p w14:paraId="15643B2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217" w:type="dxa"/>
            <w:vAlign w:val="center"/>
          </w:tcPr>
          <w:p w14:paraId="5C0C9A9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launch/fusion_only.launch、laserMapping_only.launch</w:t>
            </w:r>
          </w:p>
        </w:tc>
        <w:tc>
          <w:tcPr>
            <w:tcW w:w="2712" w:type="dxa"/>
            <w:vAlign w:val="center"/>
          </w:tcPr>
          <w:p w14:paraId="2DC4D98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局部重启</w:t>
            </w:r>
          </w:p>
        </w:tc>
      </w:tr>
      <w:tr w14:paraId="301FC66D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431" w:type="dxa"/>
            <w:vAlign w:val="center"/>
          </w:tcPr>
          <w:p w14:paraId="38099163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android_manager_4dof</w:t>
            </w:r>
          </w:p>
        </w:tc>
        <w:tc>
          <w:tcPr>
            <w:tcW w:w="4217" w:type="dxa"/>
            <w:vAlign w:val="center"/>
          </w:tcPr>
          <w:p w14:paraId="0E257CE5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src、launch、CMakeLists.txt、package.xml</w:t>
            </w:r>
          </w:p>
        </w:tc>
        <w:tc>
          <w:tcPr>
            <w:tcW w:w="2712" w:type="dxa"/>
            <w:vAlign w:val="center"/>
          </w:tcPr>
          <w:p w14:paraId="7D68804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看门狗、地图管理和停车</w:t>
            </w:r>
          </w:p>
        </w:tc>
      </w:tr>
      <w:tr w14:paraId="0E24F185">
        <w:tc>
          <w:tcPr>
            <w:tcW w:w="2431" w:type="dxa"/>
            <w:vAlign w:val="center"/>
          </w:tcPr>
          <w:p w14:paraId="524C3D58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util</w:t>
            </w:r>
          </w:p>
        </w:tc>
        <w:tc>
          <w:tcPr>
            <w:tcW w:w="4217" w:type="dxa"/>
            <w:vAlign w:val="center"/>
          </w:tcPr>
          <w:p w14:paraId="269D29A2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GpsPosition.msg、LIOPose.msg、Position.msg及构建文件</w:t>
            </w:r>
          </w:p>
        </w:tc>
        <w:tc>
          <w:tcPr>
            <w:tcW w:w="2712" w:type="dxa"/>
            <w:vAlign w:val="center"/>
          </w:tcPr>
          <w:p w14:paraId="741A2EE8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跨包接口</w:t>
            </w:r>
          </w:p>
        </w:tc>
      </w:tr>
      <w:tr w14:paraId="761EB09E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431" w:type="dxa"/>
            <w:vAlign w:val="center"/>
          </w:tcPr>
          <w:p w14:paraId="3FB4254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serial_reader</w:t>
            </w:r>
          </w:p>
        </w:tc>
        <w:tc>
          <w:tcPr>
            <w:tcW w:w="4217" w:type="dxa"/>
            <w:vAlign w:val="center"/>
          </w:tcPr>
          <w:p w14:paraId="2230A391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pub_position.cpp、gausskruger.cpp、ins_protocol.h及头文件</w:t>
            </w:r>
          </w:p>
        </w:tc>
        <w:tc>
          <w:tcPr>
            <w:tcW w:w="2712" w:type="dxa"/>
            <w:vAlign w:val="center"/>
          </w:tcPr>
          <w:p w14:paraId="05D45DF4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UM981解析和发布</w:t>
            </w:r>
          </w:p>
        </w:tc>
      </w:tr>
    </w:tbl>
    <w:p w14:paraId="5F633391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11.3 运行时数据</w:t>
      </w:r>
    </w:p>
    <w:p w14:paraId="4FED7E41">
      <w:pPr>
        <w:pStyle w:val="4"/>
        <w:numPr>
          <w:ilvl w:val="0"/>
          <w:numId w:val="20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  <w:b/>
        </w:rPr>
        <w:t>*.mp：</w:t>
      </w:r>
      <w:r>
        <w:rPr>
          <w:rFonts w:hint="default" w:ascii="Ubuntu" w:hAnsi="Ubuntu" w:cs="Ubuntu" w:eastAsiaTheme="minorEastAsia"/>
        </w:rPr>
        <w:t xml:space="preserve">永久地图身份和ENU地理原点，必须迁移实际使用文件。 </w:t>
      </w:r>
    </w:p>
    <w:p w14:paraId="187A0BD8">
      <w:pPr>
        <w:pStyle w:val="4"/>
        <w:numPr>
          <w:ilvl w:val="0"/>
          <w:numId w:val="20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  <w:b/>
        </w:rPr>
        <w:t>*.mp.lio4d：</w:t>
      </w:r>
      <w:r>
        <w:rPr>
          <w:rFonts w:hint="default" w:ascii="Ubuntu" w:hAnsi="Ubuntu" w:cs="Ubuntu" w:eastAsiaTheme="minorEastAsia"/>
        </w:rPr>
        <w:t xml:space="preserve">同一FAST-LIO代际的临时恢复状态，换机器或FAST-LIO冷启动后通常不会匹配；目标机可重新生成。 </w:t>
      </w:r>
    </w:p>
    <w:p w14:paraId="692A1161">
      <w:pPr>
        <w:pStyle w:val="4"/>
        <w:numPr>
          <w:ilvl w:val="0"/>
          <w:numId w:val="20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  <w:b/>
        </w:rPr>
        <w:t>last_pub_pos.txt：</w:t>
      </w:r>
      <w:r>
        <w:rPr>
          <w:rFonts w:hint="default" w:ascii="Ubuntu" w:hAnsi="Ubuntu" w:cs="Ubuntu" w:eastAsiaTheme="minorEastAsia"/>
        </w:rPr>
        <w:t xml:space="preserve">当前保存/恢复调用已停用，不是权威连续定位文件。 </w:t>
      </w:r>
    </w:p>
    <w:p w14:paraId="7817302F">
      <w:pPr>
        <w:pStyle w:val="4"/>
        <w:numPr>
          <w:ilvl w:val="0"/>
          <w:numId w:val="20"/>
        </w:numPr>
        <w:tabs>
          <w:tab w:val="left" w:pos="799"/>
        </w:tabs>
        <w:bidi w:val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  <w:b/>
        </w:rPr>
        <w:t>边界和任务地图：</w:t>
      </w:r>
      <w:r>
        <w:rPr>
          <w:rFonts w:hint="default" w:ascii="Ubuntu" w:hAnsi="Ubuntu" w:cs="Ubuntu" w:eastAsiaTheme="minorEastAsia"/>
        </w:rPr>
        <w:t xml:space="preserve">不归fusion_4dof管理，必须从实际地图/任务软件包另行迁移。 </w:t>
      </w:r>
    </w:p>
    <w:p w14:paraId="58845F1D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11.4 系统依赖</w:t>
      </w:r>
    </w:p>
    <w:p w14:paraId="3746DC51">
      <w:pPr>
        <w:pStyle w:val="4"/>
        <w:numPr>
          <w:ilvl w:val="0"/>
          <w:numId w:val="21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推荐Ubuntu 20.04、ROS1 Noetic、catkin。 </w:t>
      </w:r>
    </w:p>
    <w:p w14:paraId="766FB16E">
      <w:pPr>
        <w:pStyle w:val="4"/>
        <w:numPr>
          <w:ilvl w:val="0"/>
          <w:numId w:val="21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roscpp、rospy、std_msgs、geometry_msgs、nav_msgs、sensor_msgs、tf。 </w:t>
      </w:r>
    </w:p>
    <w:p w14:paraId="020285F8">
      <w:pPr>
        <w:pStyle w:val="4"/>
        <w:numPr>
          <w:ilvl w:val="0"/>
          <w:numId w:val="21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pcl_ros、PCL、Eigen3、eigen_conversions、OpenMP。 </w:t>
      </w:r>
    </w:p>
    <w:p w14:paraId="77D87BA4">
      <w:pPr>
        <w:pStyle w:val="4"/>
        <w:numPr>
          <w:ilvl w:val="0"/>
          <w:numId w:val="21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Python开发库、yaml-cpp、Ceres、ROS serial包。 </w:t>
      </w:r>
    </w:p>
    <w:p w14:paraId="3B43D2F2">
      <w:pPr>
        <w:pStyle w:val="4"/>
        <w:numPr>
          <w:ilvl w:val="0"/>
          <w:numId w:val="21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外部livox_ros_driver2。 </w:t>
      </w:r>
    </w:p>
    <w:p w14:paraId="78AA39AE">
      <w:pPr>
        <w:pStyle w:val="4"/>
        <w:numPr>
          <w:ilvl w:val="0"/>
          <w:numId w:val="21"/>
        </w:numPr>
        <w:tabs>
          <w:tab w:val="left" w:pos="799"/>
        </w:tabs>
        <w:bidi w:val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fast_lio/Thirdparty/GeographicLib。 </w:t>
      </w:r>
    </w:p>
    <w:p w14:paraId="3AE7A018">
      <w:pPr>
        <w:pStyle w:val="4"/>
        <w:bidi w:val="0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当前fast_lio的CMake仍无条件编译遗留fast_fusion，因此即使生产不启动旧Ceres节点，完整构建仍要求Ceres和yaml-cpp。</w:t>
      </w:r>
    </w:p>
    <w:p w14:paraId="7445EDB5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11.5 不能直接复制的构建产物</w:t>
      </w:r>
    </w:p>
    <w:p w14:paraId="4AD56AC5">
      <w:pPr>
        <w:pStyle w:val="4"/>
        <w:bidi w:val="0"/>
        <w:spacing w:before="150" w:after="150"/>
        <w:ind w:left="150" w:right="150" w:firstLine="0"/>
        <w:rPr>
          <w:rFonts w:hint="default" w:ascii="Ubuntu" w:hAnsi="Ubuntu" w:cs="Ubuntu" w:eastAsiaTheme="minorEastAsia"/>
          <w:bdr w:val="single" w:color="BF9000" w:sz="30" w:space="0"/>
          <w:shd w:val="clear" w:fill="FFF2CC"/>
        </w:rPr>
      </w:pPr>
      <w:r>
        <w:rPr>
          <w:rFonts w:hint="default" w:ascii="Ubuntu" w:hAnsi="Ubuntu" w:cs="Ubuntu" w:eastAsiaTheme="minorEastAsia"/>
          <w:bdr w:val="single" w:color="BF9000" w:sz="30" w:space="0"/>
          <w:shd w:val="clear" w:fill="FFF2CC"/>
        </w:rPr>
        <w:t>当前工作区已有devel/lib/fast_lio/fastlio_mapping和Thirdparty/GeographicLib/lib/libGeographic.so为ARM aarch64文件。换CPU架构时不能复制build、devel、log或预编译.so，必须从源码重新构建。</w:t>
      </w:r>
    </w:p>
    <w:p w14:paraId="4381153F">
      <w:pPr>
        <w:pStyle w:val="5"/>
        <w:bidi w:val="0"/>
        <w:ind w:left="150" w:right="150" w:firstLine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11.6 必须修改或保持一致的硬编码</w:t>
      </w:r>
    </w:p>
    <w:p w14:paraId="3FD050EE">
      <w:pPr>
        <w:pStyle w:val="4"/>
        <w:numPr>
          <w:ilvl w:val="0"/>
          <w:numId w:val="22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/home/nvidia/libo/lidar-slam-v2。 </w:t>
      </w:r>
    </w:p>
    <w:p w14:paraId="64F876FE">
      <w:pPr>
        <w:pStyle w:val="4"/>
        <w:numPr>
          <w:ilvl w:val="0"/>
          <w:numId w:val="22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/home/nvidia/libo/1ant。 </w:t>
      </w:r>
    </w:p>
    <w:p w14:paraId="0346F336">
      <w:pPr>
        <w:pStyle w:val="4"/>
        <w:numPr>
          <w:ilvl w:val="0"/>
          <w:numId w:val="22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/home/nvidia/mid360/ws_livox。 </w:t>
      </w:r>
    </w:p>
    <w:p w14:paraId="2AD11684">
      <w:pPr>
        <w:pStyle w:val="4"/>
        <w:numPr>
          <w:ilvl w:val="0"/>
          <w:numId w:val="22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UM981串口/dev/ttyTHS1及115200波特率。 </w:t>
      </w:r>
    </w:p>
    <w:p w14:paraId="234ACCDA">
      <w:pPr>
        <w:pStyle w:val="4"/>
        <w:numPr>
          <w:ilvl w:val="0"/>
          <w:numId w:val="22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fast_lio CMake中的livox_ros_driver2路径。 </w:t>
      </w:r>
    </w:p>
    <w:p w14:paraId="605384E9">
      <w:pPr>
        <w:pStyle w:val="4"/>
        <w:numPr>
          <w:ilvl w:val="0"/>
          <w:numId w:val="22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launch中的map_path和last_pub_pos_path。 </w:t>
      </w:r>
    </w:p>
    <w:p w14:paraId="2AD85359">
      <w:pPr>
        <w:pStyle w:val="4"/>
        <w:numPr>
          <w:ilvl w:val="0"/>
          <w:numId w:val="22"/>
        </w:numPr>
        <w:tabs>
          <w:tab w:val="left" w:pos="799"/>
        </w:tabs>
        <w:bidi w:val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fusion与manager内restart_ros_nodes.sh调用和source路径。 </w:t>
      </w:r>
    </w:p>
    <w:p w14:paraId="1D2EE640">
      <w:pPr>
        <w:pStyle w:val="4"/>
        <w:bidi w:val="0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最少改动方案是在目标Jetson保持相同目录；更可维护的方案是后续将路径改为launch参数、环境变量或rospackage路径。</w:t>
      </w:r>
    </w:p>
    <w:p w14:paraId="78C5D09E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11.7 推荐编译顺序</w:t>
      </w:r>
    </w:p>
    <w:p w14:paraId="6B07874A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source /opt/ros/noetic/setup.bash</w:t>
      </w:r>
    </w:p>
    <w:p w14:paraId="3FB6A6B8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source /目标路径/ws_livox/devel/setup.bash</w:t>
      </w:r>
    </w:p>
    <w:p w14:paraId="72C779DD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</w:p>
    <w:p w14:paraId="19D16E55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cd /目标路径/lidar-slam-v2</w:t>
      </w:r>
    </w:p>
    <w:p w14:paraId="1AD0CF90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catkin_make --force-cmake --pkg util</w:t>
      </w:r>
    </w:p>
    <w:p w14:paraId="076183EB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source devel/setup.bash</w:t>
      </w:r>
    </w:p>
    <w:p w14:paraId="2903196C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</w:p>
    <w:p w14:paraId="6E8E49FA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catkin_make --force-cmake --pkg fast_lio</w:t>
      </w:r>
    </w:p>
    <w:p w14:paraId="6C883ECA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source devel/setup.bash</w:t>
      </w:r>
    </w:p>
    <w:p w14:paraId="31979112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</w:p>
    <w:p w14:paraId="017D9F90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catkin_make --force-cmake --pkg fusion_4dof android_manager_4dof</w:t>
      </w:r>
    </w:p>
    <w:p w14:paraId="0D27BBC7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</w:p>
    <w:p w14:paraId="216B5CB7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cd /目标路径/1ant</w:t>
      </w:r>
    </w:p>
    <w:p w14:paraId="7C6E3B0B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source /opt/ros/noetic/setup.bash</w:t>
      </w:r>
    </w:p>
    <w:p w14:paraId="4C9D8CC4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source /目标路径/lidar-slam-v2/devel/setup.bash</w:t>
      </w:r>
    </w:p>
    <w:p w14:paraId="4D12F159">
      <w:pPr>
        <w:pStyle w:val="26"/>
        <w:bidi w:val="0"/>
        <w:spacing w:before="0" w:after="283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catkin_make --force-cmake --pkg serial_reader</w:t>
      </w:r>
    </w:p>
    <w:p w14:paraId="434F6C9B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fast_lio应先于fusion_4dof构建，因为fusion链接fast_lio源码目录内由当前架构生成的libGeographic.so。</w:t>
      </w:r>
    </w:p>
    <w:p w14:paraId="3C73D62F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11.8 目标机启动顺序</w:t>
      </w:r>
    </w:p>
    <w:p w14:paraId="0560099E">
      <w:pPr>
        <w:pStyle w:val="4"/>
        <w:numPr>
          <w:ilvl w:val="0"/>
          <w:numId w:val="23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启动roscore。 </w:t>
      </w:r>
    </w:p>
    <w:p w14:paraId="1F3873C9">
      <w:pPr>
        <w:pStyle w:val="4"/>
        <w:numPr>
          <w:ilvl w:val="0"/>
          <w:numId w:val="23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启动livox_ros_driver2，确认/livox/lidar和/livox/imu。 </w:t>
      </w:r>
    </w:p>
    <w:p w14:paraId="6E5DBAE5">
      <w:pPr>
        <w:pStyle w:val="4"/>
        <w:numPr>
          <w:ilvl w:val="0"/>
          <w:numId w:val="23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启动serial_reader，确认/nanobot/gpsposition约20 Hz。 </w:t>
      </w:r>
    </w:p>
    <w:p w14:paraId="154EE255">
      <w:pPr>
        <w:pStyle w:val="4"/>
        <w:numPr>
          <w:ilvl w:val="0"/>
          <w:numId w:val="23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首次建图使用create_mode_4dof.launch；正常复用使用location_mode_4dof.launch。 </w:t>
      </w:r>
    </w:p>
    <w:p w14:paraId="4985B68E">
      <w:pPr>
        <w:pStyle w:val="4"/>
        <w:numPr>
          <w:ilvl w:val="0"/>
          <w:numId w:val="23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单独启动android_manager_4dof/android_4dof.launch。 </w:t>
      </w:r>
    </w:p>
    <w:p w14:paraId="5B3D4CBF">
      <w:pPr>
        <w:pStyle w:val="4"/>
        <w:numPr>
          <w:ilvl w:val="0"/>
          <w:numId w:val="23"/>
        </w:numPr>
        <w:tabs>
          <w:tab w:val="left" w:pos="799"/>
        </w:tabs>
        <w:bidi w:val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确认底盘确实订阅并执行/mower/stop_car。 </w:t>
      </w:r>
    </w:p>
    <w:p w14:paraId="6262251E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11.9 移植验收</w:t>
      </w:r>
    </w:p>
    <w:p w14:paraId="6F22DDE0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节点应包括：</w:t>
      </w:r>
    </w:p>
    <w:p w14:paraId="2B515374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/laserMapping</w:t>
      </w:r>
    </w:p>
    <w:p w14:paraId="16F46863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/fusion_4dof</w:t>
      </w:r>
    </w:p>
    <w:p w14:paraId="7FE82540">
      <w:pPr>
        <w:pStyle w:val="26"/>
        <w:shd w:val="clear" w:fill="F4F6F8"/>
        <w:bidi w:val="0"/>
        <w:spacing w:before="0" w:after="0" w:line="340" w:lineRule="auto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/android_manager_4dof</w:t>
      </w:r>
    </w:p>
    <w:p w14:paraId="5EC9650F">
      <w:pPr>
        <w:pStyle w:val="26"/>
        <w:bidi w:val="0"/>
        <w:spacing w:before="0" w:after="283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/serial_reader_node</w:t>
      </w:r>
    </w:p>
    <w:p w14:paraId="2A1DCD7D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不得同时运行旧/fusion、/fusion_se2或旧android_manager。随后按T01、T04、T06、T08、T09、T10、T11、T12、T13至少完成一轮安全与连续性测试。</w:t>
      </w:r>
    </w:p>
    <w:p w14:paraId="77A687B2">
      <w:pPr>
        <w:pStyle w:val="2"/>
        <w:pBdr>
          <w:bottom w:val="single" w:color="4F81BD" w:sz="12" w:space="5"/>
        </w:pBdr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第十二章 已知风险、限制与后续工作</w:t>
      </w:r>
    </w:p>
    <w:p w14:paraId="01A93383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12.1 当前已知风险</w:t>
      </w:r>
    </w:p>
    <w:tbl>
      <w:tblPr>
        <w:tblStyle w:val="13"/>
        <w:tblW w:w="9360" w:type="dxa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50"/>
        <w:gridCol w:w="2250"/>
        <w:gridCol w:w="2350"/>
        <w:gridCol w:w="3010"/>
      </w:tblGrid>
      <w:tr w14:paraId="0210EE54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750" w:type="dxa"/>
            <w:vAlign w:val="center"/>
          </w:tcPr>
          <w:p w14:paraId="5B9D75ED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风险</w:t>
            </w:r>
          </w:p>
        </w:tc>
        <w:tc>
          <w:tcPr>
            <w:tcW w:w="2250" w:type="dxa"/>
            <w:vAlign w:val="center"/>
          </w:tcPr>
          <w:p w14:paraId="2BDE9338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影响</w:t>
            </w:r>
          </w:p>
        </w:tc>
        <w:tc>
          <w:tcPr>
            <w:tcW w:w="2350" w:type="dxa"/>
            <w:vAlign w:val="center"/>
          </w:tcPr>
          <w:p w14:paraId="04B83D94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当前措施</w:t>
            </w:r>
          </w:p>
        </w:tc>
        <w:tc>
          <w:tcPr>
            <w:tcW w:w="3010" w:type="dxa"/>
            <w:vAlign w:val="center"/>
          </w:tcPr>
          <w:p w14:paraId="3FFD0C42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建议</w:t>
            </w:r>
          </w:p>
        </w:tc>
      </w:tr>
      <w:tr w14:paraId="6A975E64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750" w:type="dxa"/>
            <w:vAlign w:val="center"/>
          </w:tcPr>
          <w:p w14:paraId="5D38200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纯LIO模式未检查4DoF返回值</w:t>
            </w:r>
          </w:p>
        </w:tc>
        <w:tc>
          <w:tcPr>
            <w:tcW w:w="2250" w:type="dxa"/>
            <w:vAlign w:val="center"/>
          </w:tcPr>
          <w:p w14:paraId="4F2B173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对齐前可能把H系数值按state=4发布</w:t>
            </w:r>
          </w:p>
        </w:tc>
        <w:tc>
          <w:tcPr>
            <w:tcW w:w="2350" w:type="dxa"/>
            <w:vAlign w:val="center"/>
          </w:tcPr>
          <w:p w14:paraId="28171FDC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正常融合模式已有Is4DAligned门控</w:t>
            </w:r>
          </w:p>
        </w:tc>
        <w:tc>
          <w:tcPr>
            <w:tcW w:w="3010" w:type="dxa"/>
            <w:vAlign w:val="center"/>
          </w:tcPr>
          <w:p w14:paraId="23F922BF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为pub_fusion=3增加lio_enu_transform_available与Is4DAligned硬门控</w:t>
            </w:r>
          </w:p>
        </w:tc>
      </w:tr>
      <w:tr w14:paraId="7096E8C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750" w:type="dxa"/>
            <w:vAlign w:val="center"/>
          </w:tcPr>
          <w:p w14:paraId="24507499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frame_id=base_link但数值在ENU</w:t>
            </w:r>
          </w:p>
        </w:tc>
        <w:tc>
          <w:tcPr>
            <w:tcW w:w="2250" w:type="dxa"/>
            <w:vAlign w:val="center"/>
          </w:tcPr>
          <w:p w14:paraId="5439BB33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第三方ROS节点可能误解表达帧</w:t>
            </w:r>
          </w:p>
        </w:tc>
        <w:tc>
          <w:tcPr>
            <w:tcW w:w="2350" w:type="dxa"/>
            <w:vAlign w:val="center"/>
          </w:tcPr>
          <w:p w14:paraId="20C1C9F1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兼容既有下游</w:t>
            </w:r>
          </w:p>
        </w:tc>
        <w:tc>
          <w:tcPr>
            <w:tcW w:w="3010" w:type="dxa"/>
            <w:vAlign w:val="center"/>
          </w:tcPr>
          <w:p w14:paraId="33CAFFB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接口文档明确；新系统考虑标准化map frame</w:t>
            </w:r>
          </w:p>
        </w:tc>
      </w:tr>
      <w:tr w14:paraId="0C93F4F7">
        <w:tc>
          <w:tcPr>
            <w:tcW w:w="1750" w:type="dxa"/>
            <w:vAlign w:val="center"/>
          </w:tcPr>
          <w:p w14:paraId="2AFA695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重启逻辑分散</w:t>
            </w:r>
          </w:p>
        </w:tc>
        <w:tc>
          <w:tcPr>
            <w:tcW w:w="2250" w:type="dxa"/>
            <w:vAlign w:val="center"/>
          </w:tcPr>
          <w:p w14:paraId="3AE5515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fusion与manager可能存在竞态或重复动作</w:t>
            </w:r>
          </w:p>
        </w:tc>
        <w:tc>
          <w:tcPr>
            <w:tcW w:w="2350" w:type="dxa"/>
            <w:vAlign w:val="center"/>
          </w:tcPr>
          <w:p w14:paraId="46863690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代际检测和停车已分层</w:t>
            </w:r>
          </w:p>
        </w:tc>
        <w:tc>
          <w:tcPr>
            <w:tcW w:w="3010" w:type="dxa"/>
            <w:vAlign w:val="center"/>
          </w:tcPr>
          <w:p w14:paraId="02CCB8C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集中为外部定位状态机</w:t>
            </w:r>
          </w:p>
        </w:tc>
      </w:tr>
      <w:tr w14:paraId="2824E5E9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750" w:type="dxa"/>
            <w:vAlign w:val="center"/>
          </w:tcPr>
          <w:p w14:paraId="5ECC7FBF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外参硬编码</w:t>
            </w:r>
          </w:p>
        </w:tc>
        <w:tc>
          <w:tcPr>
            <w:tcW w:w="2250" w:type="dxa"/>
            <w:vAlign w:val="center"/>
          </w:tcPr>
          <w:p w14:paraId="63658A5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换车或安装调整容易遗漏</w:t>
            </w:r>
          </w:p>
        </w:tc>
        <w:tc>
          <w:tcPr>
            <w:tcW w:w="2350" w:type="dxa"/>
            <w:vAlign w:val="center"/>
          </w:tcPr>
          <w:p w14:paraId="0AD99B5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launch和yaml可查看</w:t>
            </w:r>
          </w:p>
        </w:tc>
        <w:tc>
          <w:tcPr>
            <w:tcW w:w="3010" w:type="dxa"/>
            <w:vAlign w:val="center"/>
          </w:tcPr>
          <w:p w14:paraId="284C5DC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统一标定文件、版本和校验</w:t>
            </w:r>
          </w:p>
        </w:tc>
      </w:tr>
      <w:tr w14:paraId="2E01F56B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750" w:type="dxa"/>
            <w:vAlign w:val="center"/>
          </w:tcPr>
          <w:p w14:paraId="647C8905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4DoF无尺度</w:t>
            </w:r>
          </w:p>
        </w:tc>
        <w:tc>
          <w:tcPr>
            <w:tcW w:w="2250" w:type="dxa"/>
            <w:vAlign w:val="center"/>
          </w:tcPr>
          <w:p w14:paraId="2C61C595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无法修正持续的距离比例差</w:t>
            </w:r>
          </w:p>
        </w:tc>
        <w:tc>
          <w:tcPr>
            <w:tcW w:w="2350" w:type="dxa"/>
            <w:vAlign w:val="center"/>
          </w:tcPr>
          <w:p w14:paraId="4428756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诊断日志提供残差</w:t>
            </w:r>
          </w:p>
        </w:tc>
        <w:tc>
          <w:tcPr>
            <w:tcW w:w="3010" w:type="dxa"/>
            <w:vAlign w:val="center"/>
          </w:tcPr>
          <w:p w14:paraId="5F3902D3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独立真值测试，定位时间/尺度根因</w:t>
            </w:r>
          </w:p>
        </w:tc>
      </w:tr>
      <w:tr w14:paraId="2DE56D49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750" w:type="dxa"/>
            <w:vAlign w:val="center"/>
          </w:tcPr>
          <w:p w14:paraId="56CD5C24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tz依赖GNSS高程</w:t>
            </w:r>
          </w:p>
        </w:tc>
        <w:tc>
          <w:tcPr>
            <w:tcW w:w="2250" w:type="dxa"/>
            <w:vAlign w:val="center"/>
          </w:tcPr>
          <w:p w14:paraId="2EFDE715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遮挡环境下初始化慢或不稳定</w:t>
            </w:r>
          </w:p>
        </w:tc>
        <w:tc>
          <w:tcPr>
            <w:tcW w:w="2350" w:type="dxa"/>
            <w:vAlign w:val="center"/>
          </w:tcPr>
          <w:p w14:paraId="2E9D7974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中位数、内点和标准差门控</w:t>
            </w:r>
          </w:p>
        </w:tc>
        <w:tc>
          <w:tcPr>
            <w:tcW w:w="3010" w:type="dxa"/>
            <w:vAlign w:val="center"/>
          </w:tcPr>
          <w:p w14:paraId="675D98C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确认INS高度标准差字段后启用质量门控</w:t>
            </w:r>
          </w:p>
        </w:tc>
      </w:tr>
      <w:tr w14:paraId="009D6D91">
        <w:tc>
          <w:tcPr>
            <w:tcW w:w="1750" w:type="dxa"/>
            <w:vAlign w:val="center"/>
          </w:tcPr>
          <w:p w14:paraId="4134CD3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FAST-LIO重启且GPS不可用</w:t>
            </w:r>
          </w:p>
        </w:tc>
        <w:tc>
          <w:tcPr>
            <w:tcW w:w="2250" w:type="dxa"/>
            <w:vAlign w:val="center"/>
          </w:tcPr>
          <w:p w14:paraId="3479C823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新H系无法恢复旧ENU</w:t>
            </w:r>
          </w:p>
        </w:tc>
        <w:tc>
          <w:tcPr>
            <w:tcW w:w="2350" w:type="dxa"/>
            <w:vAlign w:val="center"/>
          </w:tcPr>
          <w:p w14:paraId="3DCD262C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保持停车</w:t>
            </w:r>
          </w:p>
        </w:tc>
        <w:tc>
          <w:tcPr>
            <w:tcW w:w="3010" w:type="dxa"/>
            <w:vAlign w:val="center"/>
          </w:tcPr>
          <w:p w14:paraId="2AD9E01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如需无GPS热恢复，需引入永久地图重定位或其他绝对约束</w:t>
            </w:r>
          </w:p>
        </w:tc>
      </w:tr>
    </w:tbl>
    <w:p w14:paraId="43AFC576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12.2 后续待办</w:t>
      </w:r>
    </w:p>
    <w:p w14:paraId="2576DBC9">
      <w:pPr>
        <w:pStyle w:val="4"/>
        <w:numPr>
          <w:ilvl w:val="0"/>
          <w:numId w:val="24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  <w:b/>
        </w:rPr>
        <w:t>优先：</w:t>
      </w:r>
      <w:r>
        <w:rPr>
          <w:rFonts w:hint="default" w:ascii="Ubuntu" w:hAnsi="Ubuntu" w:cs="Ubuntu" w:eastAsiaTheme="minorEastAsia"/>
        </w:rPr>
        <w:t xml:space="preserve">修复纯LIO模式4DoF有效性门控，并增加回归测试。 </w:t>
      </w:r>
    </w:p>
    <w:p w14:paraId="031B3B75">
      <w:pPr>
        <w:pStyle w:val="4"/>
        <w:numPr>
          <w:ilvl w:val="0"/>
          <w:numId w:val="24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  <w:b/>
        </w:rPr>
        <w:t>优先：</w:t>
      </w:r>
      <w:r>
        <w:rPr>
          <w:rFonts w:hint="default" w:ascii="Ubuntu" w:hAnsi="Ubuntu" w:cs="Ubuntu" w:eastAsiaTheme="minorEastAsia"/>
        </w:rPr>
        <w:t xml:space="preserve">将重启判断集中为一个外部状态机，统一停车、重启对象、重试次数、模式恢复和故障升级。 </w:t>
      </w:r>
    </w:p>
    <w:p w14:paraId="2D8116DE">
      <w:pPr>
        <w:pStyle w:val="4"/>
        <w:numPr>
          <w:ilvl w:val="0"/>
          <w:numId w:val="24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把绝对路径和串口设备改为launch参数或统一配置文件。 </w:t>
      </w:r>
    </w:p>
    <w:p w14:paraId="3B1734E7">
      <w:pPr>
        <w:pStyle w:val="4"/>
        <w:numPr>
          <w:ilvl w:val="0"/>
          <w:numId w:val="24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清理fast_lio中遗留fast_fusion构建目标，降低不必要的Ceres依赖。 </w:t>
      </w:r>
    </w:p>
    <w:p w14:paraId="61A18254">
      <w:pPr>
        <w:pStyle w:val="4"/>
        <w:numPr>
          <w:ilvl w:val="0"/>
          <w:numId w:val="24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建立版本化标定文件，明确LiDAR→IMU→base_link完整链路和不确定度。 </w:t>
      </w:r>
    </w:p>
    <w:p w14:paraId="4FA5B59F">
      <w:pPr>
        <w:pStyle w:val="4"/>
        <w:numPr>
          <w:ilvl w:val="0"/>
          <w:numId w:val="24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完成独立距离真值测试，判断已有GPS/LIO位移差异究竟来自GPS、LIO、时间同步、外参还是参考点不一致。 </w:t>
      </w:r>
    </w:p>
    <w:p w14:paraId="27C96BE3">
      <w:pPr>
        <w:pStyle w:val="4"/>
        <w:numPr>
          <w:ilvl w:val="0"/>
          <w:numId w:val="24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确认UM981高度标准差字段的单位和语义后，评估启用vertical_require_ins_height_std。 </w:t>
      </w:r>
    </w:p>
    <w:p w14:paraId="5E55F09C">
      <w:pPr>
        <w:pStyle w:val="4"/>
        <w:numPr>
          <w:ilvl w:val="0"/>
          <w:numId w:val="24"/>
        </w:numPr>
        <w:tabs>
          <w:tab w:val="left" w:pos="799"/>
        </w:tabs>
        <w:bidi w:val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根据实车日志固化工程验收阈值，而不是长期只沿用算法内部告警值。 </w:t>
      </w:r>
    </w:p>
    <w:p w14:paraId="7DDAC72A">
      <w:pPr>
        <w:pStyle w:val="5"/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12.3 何时才需要进一步升级到全局SE(3)</w:t>
      </w:r>
    </w:p>
    <w:p w14:paraId="4067F5A3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只有出现以下需求，并且有足够三维绝对观测时，才建议重新评估全局SE(3)：</w:t>
      </w:r>
    </w:p>
    <w:p w14:paraId="22D31130">
      <w:pPr>
        <w:pStyle w:val="4"/>
        <w:numPr>
          <w:ilvl w:val="0"/>
          <w:numId w:val="25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车辆进行显著非地面运动或长期大姿态运动。 </w:t>
      </w:r>
    </w:p>
    <w:p w14:paraId="78C7DD72">
      <w:pPr>
        <w:pStyle w:val="4"/>
        <w:numPr>
          <w:ilvl w:val="0"/>
          <w:numId w:val="25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具备可靠的双天线/多天线三维姿态、视觉地图或全局点云地图约束。 </w:t>
      </w:r>
    </w:p>
    <w:p w14:paraId="1498B2C0">
      <w:pPr>
        <w:pStyle w:val="4"/>
        <w:numPr>
          <w:ilvl w:val="0"/>
          <w:numId w:val="25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需要在无GPS条件下通过永久三维地图重定位恢复完整姿态。 </w:t>
      </w:r>
    </w:p>
    <w:p w14:paraId="497B3A3C">
      <w:pPr>
        <w:pStyle w:val="4"/>
        <w:numPr>
          <w:ilvl w:val="0"/>
          <w:numId w:val="25"/>
        </w:numPr>
        <w:tabs>
          <w:tab w:val="left" w:pos="799"/>
        </w:tabs>
        <w:bidi w:val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能够严格处理时间同步、杆臂、姿态协方差和异常观测。 </w:t>
      </w:r>
    </w:p>
    <w:p w14:paraId="1F9CB8C0">
      <w:pPr>
        <w:pStyle w:val="4"/>
        <w:bidi w:val="0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在当前割草机使用场景下，重力约束4DoF仍是复杂度、可观测性、稳定性和维护成本之间更合理的选择。</w:t>
      </w:r>
    </w:p>
    <w:p w14:paraId="6405335A">
      <w:pPr>
        <w:pStyle w:val="2"/>
        <w:pBdr>
          <w:bottom w:val="single" w:color="4F81BD" w:sz="12" w:space="5"/>
        </w:pBdr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附录A 参数总表</w:t>
      </w:r>
    </w:p>
    <w:tbl>
      <w:tblPr>
        <w:tblStyle w:val="13"/>
        <w:tblW w:w="9360" w:type="dxa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00"/>
        <w:gridCol w:w="4350"/>
        <w:gridCol w:w="3510"/>
      </w:tblGrid>
      <w:tr w14:paraId="1EE83EF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00" w:type="dxa"/>
            <w:vAlign w:val="center"/>
          </w:tcPr>
          <w:p w14:paraId="1391A9E8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模块</w:t>
            </w:r>
          </w:p>
        </w:tc>
        <w:tc>
          <w:tcPr>
            <w:tcW w:w="4350" w:type="dxa"/>
            <w:vAlign w:val="center"/>
          </w:tcPr>
          <w:p w14:paraId="61106AE6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参数</w:t>
            </w:r>
          </w:p>
        </w:tc>
        <w:tc>
          <w:tcPr>
            <w:tcW w:w="3510" w:type="dxa"/>
            <w:vAlign w:val="center"/>
          </w:tcPr>
          <w:p w14:paraId="5D52C071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当前值</w:t>
            </w:r>
          </w:p>
        </w:tc>
      </w:tr>
      <w:tr w14:paraId="57A552B8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00" w:type="dxa"/>
            <w:vMerge w:val="restart"/>
            <w:vAlign w:val="center"/>
          </w:tcPr>
          <w:p w14:paraId="3E6DF572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FAST-LIO静态</w:t>
            </w:r>
          </w:p>
        </w:tc>
        <w:tc>
          <w:tcPr>
            <w:tcW w:w="4350" w:type="dxa"/>
            <w:vAlign w:val="center"/>
          </w:tcPr>
          <w:p w14:paraId="70439C7F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static_duration</w:t>
            </w:r>
          </w:p>
        </w:tc>
        <w:tc>
          <w:tcPr>
            <w:tcW w:w="3510" w:type="dxa"/>
            <w:vAlign w:val="center"/>
          </w:tcPr>
          <w:p w14:paraId="36BEC09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2.0 s</w:t>
            </w:r>
          </w:p>
        </w:tc>
      </w:tr>
      <w:tr w14:paraId="3C7D7F2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00" w:type="dxa"/>
            <w:vMerge w:val="continue"/>
            <w:vAlign w:val="center"/>
          </w:tcPr>
          <w:p w14:paraId="32FC0DE3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350" w:type="dxa"/>
            <w:vAlign w:val="center"/>
          </w:tcPr>
          <w:p w14:paraId="03A377A6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max_gyro_mean_norm</w:t>
            </w:r>
          </w:p>
        </w:tc>
        <w:tc>
          <w:tcPr>
            <w:tcW w:w="3510" w:type="dxa"/>
            <w:vAlign w:val="center"/>
          </w:tcPr>
          <w:p w14:paraId="7C48324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0.05 rad/s</w:t>
            </w:r>
          </w:p>
        </w:tc>
      </w:tr>
      <w:tr w14:paraId="0F5EF777">
        <w:tc>
          <w:tcPr>
            <w:tcW w:w="1500" w:type="dxa"/>
            <w:vMerge w:val="continue"/>
            <w:vAlign w:val="center"/>
          </w:tcPr>
          <w:p w14:paraId="22267D78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350" w:type="dxa"/>
            <w:vAlign w:val="center"/>
          </w:tcPr>
          <w:p w14:paraId="4059431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max_gyro_norm</w:t>
            </w:r>
          </w:p>
        </w:tc>
        <w:tc>
          <w:tcPr>
            <w:tcW w:w="3510" w:type="dxa"/>
            <w:vAlign w:val="center"/>
          </w:tcPr>
          <w:p w14:paraId="5E0EC984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0.10 rad/s</w:t>
            </w:r>
          </w:p>
        </w:tc>
      </w:tr>
      <w:tr w14:paraId="292CAE71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00" w:type="dxa"/>
            <w:vMerge w:val="continue"/>
            <w:vAlign w:val="center"/>
          </w:tcPr>
          <w:p w14:paraId="37FEBC64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350" w:type="dxa"/>
            <w:vAlign w:val="center"/>
          </w:tcPr>
          <w:p w14:paraId="409A971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min_acc_norm</w:t>
            </w:r>
          </w:p>
        </w:tc>
        <w:tc>
          <w:tcPr>
            <w:tcW w:w="3510" w:type="dxa"/>
            <w:vAlign w:val="center"/>
          </w:tcPr>
          <w:p w14:paraId="1C5F28D5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8.0 m/s²</w:t>
            </w:r>
          </w:p>
        </w:tc>
      </w:tr>
      <w:tr w14:paraId="4521AC51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00" w:type="dxa"/>
            <w:vMerge w:val="continue"/>
            <w:vAlign w:val="center"/>
          </w:tcPr>
          <w:p w14:paraId="0ED6DCD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350" w:type="dxa"/>
            <w:vAlign w:val="center"/>
          </w:tcPr>
          <w:p w14:paraId="66A8E3D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max_acc_norm</w:t>
            </w:r>
          </w:p>
        </w:tc>
        <w:tc>
          <w:tcPr>
            <w:tcW w:w="3510" w:type="dxa"/>
            <w:vAlign w:val="center"/>
          </w:tcPr>
          <w:p w14:paraId="5AA4FB85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11.5 m/s²</w:t>
            </w:r>
          </w:p>
        </w:tc>
      </w:tr>
      <w:tr w14:paraId="27E32CD8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00" w:type="dxa"/>
            <w:vMerge w:val="continue"/>
            <w:vAlign w:val="center"/>
          </w:tcPr>
          <w:p w14:paraId="4005AAA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350" w:type="dxa"/>
            <w:vAlign w:val="center"/>
          </w:tcPr>
          <w:p w14:paraId="5544B00C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max_acc_variance</w:t>
            </w:r>
          </w:p>
        </w:tc>
        <w:tc>
          <w:tcPr>
            <w:tcW w:w="3510" w:type="dxa"/>
            <w:vAlign w:val="center"/>
          </w:tcPr>
          <w:p w14:paraId="03C4761C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0.10 (m/s²)²</w:t>
            </w:r>
          </w:p>
        </w:tc>
      </w:tr>
      <w:tr w14:paraId="152230A1">
        <w:tc>
          <w:tcPr>
            <w:tcW w:w="1500" w:type="dxa"/>
            <w:vMerge w:val="continue"/>
            <w:vAlign w:val="center"/>
          </w:tcPr>
          <w:p w14:paraId="7056EE22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350" w:type="dxa"/>
            <w:vAlign w:val="center"/>
          </w:tcPr>
          <w:p w14:paraId="2834D1F1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max_sample_gap</w:t>
            </w:r>
          </w:p>
        </w:tc>
        <w:tc>
          <w:tcPr>
            <w:tcW w:w="3510" w:type="dxa"/>
            <w:vAlign w:val="center"/>
          </w:tcPr>
          <w:p w14:paraId="0C30F575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0.10 s</w:t>
            </w:r>
          </w:p>
        </w:tc>
      </w:tr>
      <w:tr w14:paraId="23C8619B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00" w:type="dxa"/>
            <w:vMerge w:val="continue"/>
            <w:vAlign w:val="center"/>
          </w:tcPr>
          <w:p w14:paraId="713EA1B1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350" w:type="dxa"/>
            <w:vAlign w:val="center"/>
          </w:tcPr>
          <w:p w14:paraId="1B900C7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min_samples</w:t>
            </w:r>
          </w:p>
        </w:tc>
        <w:tc>
          <w:tcPr>
            <w:tcW w:w="3510" w:type="dxa"/>
            <w:vAlign w:val="center"/>
          </w:tcPr>
          <w:p w14:paraId="773C43B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50</w:t>
            </w:r>
          </w:p>
        </w:tc>
      </w:tr>
      <w:tr w14:paraId="480CC204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00" w:type="dxa"/>
            <w:vMerge w:val="restart"/>
            <w:vAlign w:val="center"/>
          </w:tcPr>
          <w:p w14:paraId="3901337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水平对齐</w:t>
            </w:r>
          </w:p>
        </w:tc>
        <w:tc>
          <w:tcPr>
            <w:tcW w:w="4350" w:type="dxa"/>
            <w:vAlign w:val="center"/>
          </w:tcPr>
          <w:p w14:paraId="0354277C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max_window</w:t>
            </w:r>
          </w:p>
        </w:tc>
        <w:tc>
          <w:tcPr>
            <w:tcW w:w="3510" w:type="dxa"/>
            <w:vAlign w:val="center"/>
          </w:tcPr>
          <w:p w14:paraId="7A4B870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400</w:t>
            </w:r>
          </w:p>
        </w:tc>
      </w:tr>
      <w:tr w14:paraId="30A540FE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00" w:type="dxa"/>
            <w:vMerge w:val="continue"/>
            <w:vAlign w:val="center"/>
          </w:tcPr>
          <w:p w14:paraId="0CC45E7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350" w:type="dxa"/>
            <w:vAlign w:val="center"/>
          </w:tcPr>
          <w:p w14:paraId="5EF376D8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window_span</w:t>
            </w:r>
          </w:p>
        </w:tc>
        <w:tc>
          <w:tcPr>
            <w:tcW w:w="3510" w:type="dxa"/>
            <w:vAlign w:val="center"/>
          </w:tcPr>
          <w:p w14:paraId="79316434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45.0 s</w:t>
            </w:r>
          </w:p>
        </w:tc>
      </w:tr>
      <w:tr w14:paraId="375C829E">
        <w:tc>
          <w:tcPr>
            <w:tcW w:w="1500" w:type="dxa"/>
            <w:vMerge w:val="continue"/>
            <w:vAlign w:val="center"/>
          </w:tcPr>
          <w:p w14:paraId="71609030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350" w:type="dxa"/>
            <w:vAlign w:val="center"/>
          </w:tcPr>
          <w:p w14:paraId="3C0F25B6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match_tolerance</w:t>
            </w:r>
          </w:p>
        </w:tc>
        <w:tc>
          <w:tcPr>
            <w:tcW w:w="3510" w:type="dxa"/>
            <w:vAlign w:val="center"/>
          </w:tcPr>
          <w:p w14:paraId="16A0A77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0.05 s</w:t>
            </w:r>
          </w:p>
        </w:tc>
      </w:tr>
      <w:tr w14:paraId="5879D4CD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00" w:type="dxa"/>
            <w:vMerge w:val="continue"/>
            <w:vAlign w:val="center"/>
          </w:tcPr>
          <w:p w14:paraId="00ADA87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350" w:type="dxa"/>
            <w:vAlign w:val="center"/>
          </w:tcPr>
          <w:p w14:paraId="609B3F6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seed_along_std</w:t>
            </w:r>
          </w:p>
        </w:tc>
        <w:tc>
          <w:tcPr>
            <w:tcW w:w="3510" w:type="dxa"/>
            <w:vAlign w:val="center"/>
          </w:tcPr>
          <w:p w14:paraId="79E8572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0.50 m</w:t>
            </w:r>
          </w:p>
        </w:tc>
      </w:tr>
      <w:tr w14:paraId="6F5B6327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00" w:type="dxa"/>
            <w:vMerge w:val="continue"/>
            <w:vAlign w:val="center"/>
          </w:tcPr>
          <w:p w14:paraId="3F6560A3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350" w:type="dxa"/>
            <w:vAlign w:val="center"/>
          </w:tcPr>
          <w:p w14:paraId="7D85D654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lock_cross_std</w:t>
            </w:r>
          </w:p>
        </w:tc>
        <w:tc>
          <w:tcPr>
            <w:tcW w:w="3510" w:type="dxa"/>
            <w:vAlign w:val="center"/>
          </w:tcPr>
          <w:p w14:paraId="326BC6E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0.10 m</w:t>
            </w:r>
          </w:p>
        </w:tc>
      </w:tr>
      <w:tr w14:paraId="2D1470C4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00" w:type="dxa"/>
            <w:vMerge w:val="continue"/>
            <w:vAlign w:val="center"/>
          </w:tcPr>
          <w:p w14:paraId="08BCEF4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350" w:type="dxa"/>
            <w:vAlign w:val="center"/>
          </w:tcPr>
          <w:p w14:paraId="7101BB0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lock_min_samples / confirm_frames</w:t>
            </w:r>
          </w:p>
        </w:tc>
        <w:tc>
          <w:tcPr>
            <w:tcW w:w="3510" w:type="dxa"/>
            <w:vAlign w:val="center"/>
          </w:tcPr>
          <w:p w14:paraId="3EBC8A0C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15 / 3</w:t>
            </w:r>
          </w:p>
        </w:tc>
      </w:tr>
      <w:tr w14:paraId="29A8244F">
        <w:tc>
          <w:tcPr>
            <w:tcW w:w="1500" w:type="dxa"/>
            <w:vMerge w:val="continue"/>
            <w:vAlign w:val="center"/>
          </w:tcPr>
          <w:p w14:paraId="58482552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350" w:type="dxa"/>
            <w:vAlign w:val="center"/>
          </w:tcPr>
          <w:p w14:paraId="107CF06F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outlier_residual</w:t>
            </w:r>
          </w:p>
        </w:tc>
        <w:tc>
          <w:tcPr>
            <w:tcW w:w="3510" w:type="dxa"/>
            <w:vAlign w:val="center"/>
          </w:tcPr>
          <w:p w14:paraId="09708F34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0.50 m</w:t>
            </w:r>
          </w:p>
        </w:tc>
      </w:tr>
      <w:tr w14:paraId="34A2F458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00" w:type="dxa"/>
            <w:vMerge w:val="restart"/>
            <w:vAlign w:val="center"/>
          </w:tcPr>
          <w:p w14:paraId="679AFE7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竖直对齐</w:t>
            </w:r>
          </w:p>
        </w:tc>
        <w:tc>
          <w:tcPr>
            <w:tcW w:w="4350" w:type="dxa"/>
            <w:vAlign w:val="center"/>
          </w:tcPr>
          <w:p w14:paraId="4A721A72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min_samples</w:t>
            </w:r>
          </w:p>
        </w:tc>
        <w:tc>
          <w:tcPr>
            <w:tcW w:w="3510" w:type="dxa"/>
            <w:vAlign w:val="center"/>
          </w:tcPr>
          <w:p w14:paraId="240E4274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10</w:t>
            </w:r>
          </w:p>
        </w:tc>
      </w:tr>
      <w:tr w14:paraId="7C38D14F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00" w:type="dxa"/>
            <w:vMerge w:val="continue"/>
            <w:vAlign w:val="center"/>
          </w:tcPr>
          <w:p w14:paraId="2CCF92D6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350" w:type="dxa"/>
            <w:vAlign w:val="center"/>
          </w:tcPr>
          <w:p w14:paraId="471E74B8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max_std</w:t>
            </w:r>
          </w:p>
        </w:tc>
        <w:tc>
          <w:tcPr>
            <w:tcW w:w="3510" w:type="dxa"/>
            <w:vAlign w:val="center"/>
          </w:tcPr>
          <w:p w14:paraId="5BAE413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0.30 m</w:t>
            </w:r>
          </w:p>
        </w:tc>
      </w:tr>
      <w:tr w14:paraId="6892CDAF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00" w:type="dxa"/>
            <w:vMerge w:val="continue"/>
            <w:vAlign w:val="center"/>
          </w:tcPr>
          <w:p w14:paraId="689A2A4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350" w:type="dxa"/>
            <w:vAlign w:val="center"/>
          </w:tcPr>
          <w:p w14:paraId="1ECAD275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outlier_threshold</w:t>
            </w:r>
          </w:p>
        </w:tc>
        <w:tc>
          <w:tcPr>
            <w:tcW w:w="3510" w:type="dxa"/>
            <w:vAlign w:val="center"/>
          </w:tcPr>
          <w:p w14:paraId="7AAF456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0.80 m</w:t>
            </w:r>
          </w:p>
        </w:tc>
      </w:tr>
      <w:tr w14:paraId="6CD6DD6A">
        <w:tc>
          <w:tcPr>
            <w:tcW w:w="1500" w:type="dxa"/>
            <w:vMerge w:val="continue"/>
            <w:vAlign w:val="center"/>
          </w:tcPr>
          <w:p w14:paraId="03DFF3E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350" w:type="dxa"/>
            <w:vAlign w:val="center"/>
          </w:tcPr>
          <w:p w14:paraId="7523ECC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max_abs_offset</w:t>
            </w:r>
          </w:p>
        </w:tc>
        <w:tc>
          <w:tcPr>
            <w:tcW w:w="3510" w:type="dxa"/>
            <w:vAlign w:val="center"/>
          </w:tcPr>
          <w:p w14:paraId="6F0FEBF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1000 m</w:t>
            </w:r>
          </w:p>
        </w:tc>
      </w:tr>
      <w:tr w14:paraId="46305FF6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00" w:type="dxa"/>
            <w:vMerge w:val="restart"/>
            <w:vAlign w:val="center"/>
          </w:tcPr>
          <w:p w14:paraId="4B587C6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姿态</w:t>
            </w:r>
          </w:p>
        </w:tc>
        <w:tc>
          <w:tcPr>
            <w:tcW w:w="4350" w:type="dxa"/>
            <w:vAlign w:val="center"/>
          </w:tcPr>
          <w:p w14:paraId="0295C09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roll_pitch_source</w:t>
            </w:r>
          </w:p>
        </w:tc>
        <w:tc>
          <w:tcPr>
            <w:tcW w:w="3510" w:type="dxa"/>
            <w:vAlign w:val="center"/>
          </w:tcPr>
          <w:p w14:paraId="2E52164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ins</w:t>
            </w:r>
          </w:p>
        </w:tc>
      </w:tr>
      <w:tr w14:paraId="77D2D959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00" w:type="dxa"/>
            <w:vMerge w:val="continue"/>
            <w:vAlign w:val="center"/>
          </w:tcPr>
          <w:p w14:paraId="5D507F5C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350" w:type="dxa"/>
            <w:vAlign w:val="center"/>
          </w:tcPr>
          <w:p w14:paraId="3F4D8CE2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max_age</w:t>
            </w:r>
          </w:p>
        </w:tc>
        <w:tc>
          <w:tcPr>
            <w:tcW w:w="3510" w:type="dxa"/>
            <w:vAlign w:val="center"/>
          </w:tcPr>
          <w:p w14:paraId="13FDCC7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0.30 s</w:t>
            </w:r>
          </w:p>
        </w:tc>
      </w:tr>
      <w:tr w14:paraId="12F90D24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00" w:type="dxa"/>
            <w:vMerge w:val="continue"/>
            <w:vAlign w:val="center"/>
          </w:tcPr>
          <w:p w14:paraId="028AD8D4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350" w:type="dxa"/>
            <w:vAlign w:val="center"/>
          </w:tcPr>
          <w:p w14:paraId="16232C99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max_abs</w:t>
            </w:r>
          </w:p>
        </w:tc>
        <w:tc>
          <w:tcPr>
            <w:tcW w:w="3510" w:type="dxa"/>
            <w:vAlign w:val="center"/>
          </w:tcPr>
          <w:p w14:paraId="39261A50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45°</w:t>
            </w:r>
          </w:p>
        </w:tc>
      </w:tr>
      <w:tr w14:paraId="1A973A2E">
        <w:tc>
          <w:tcPr>
            <w:tcW w:w="1500" w:type="dxa"/>
            <w:vMerge w:val="continue"/>
            <w:vAlign w:val="center"/>
          </w:tcPr>
          <w:p w14:paraId="5B045653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350" w:type="dxa"/>
            <w:vAlign w:val="center"/>
          </w:tcPr>
          <w:p w14:paraId="61F54170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INS-LIO max disagreement</w:t>
            </w:r>
          </w:p>
        </w:tc>
        <w:tc>
          <w:tcPr>
            <w:tcW w:w="3510" w:type="dxa"/>
            <w:vAlign w:val="center"/>
          </w:tcPr>
          <w:p w14:paraId="0382486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15°</w:t>
            </w:r>
          </w:p>
        </w:tc>
      </w:tr>
      <w:tr w14:paraId="5D3C9BD7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00" w:type="dxa"/>
            <w:vMerge w:val="restart"/>
            <w:vAlign w:val="center"/>
          </w:tcPr>
          <w:p w14:paraId="23B7D54F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GPS状态</w:t>
            </w:r>
          </w:p>
        </w:tc>
        <w:tc>
          <w:tcPr>
            <w:tcW w:w="4350" w:type="dxa"/>
            <w:vAlign w:val="center"/>
          </w:tcPr>
          <w:p w14:paraId="11A236A9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initial_stable_count</w:t>
            </w:r>
          </w:p>
        </w:tc>
        <w:tc>
          <w:tcPr>
            <w:tcW w:w="3510" w:type="dxa"/>
            <w:vAlign w:val="center"/>
          </w:tcPr>
          <w:p w14:paraId="09C3FE8B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45，冷启动需5个好样本到50</w:t>
            </w:r>
          </w:p>
        </w:tc>
      </w:tr>
      <w:tr w14:paraId="6701F53B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00" w:type="dxa"/>
            <w:vMerge w:val="continue"/>
            <w:vAlign w:val="center"/>
          </w:tcPr>
          <w:p w14:paraId="631706E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350" w:type="dxa"/>
            <w:vAlign w:val="center"/>
          </w:tcPr>
          <w:p w14:paraId="67371178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recovery_floor</w:t>
            </w:r>
          </w:p>
        </w:tc>
        <w:tc>
          <w:tcPr>
            <w:tcW w:w="3510" w:type="dxa"/>
            <w:vAlign w:val="center"/>
          </w:tcPr>
          <w:p w14:paraId="4D719AA1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28</w:t>
            </w:r>
          </w:p>
        </w:tc>
      </w:tr>
      <w:tr w14:paraId="2AFAB019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00" w:type="dxa"/>
            <w:vMerge w:val="continue"/>
            <w:vAlign w:val="center"/>
          </w:tcPr>
          <w:p w14:paraId="0E02F39C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  <w:sz w:val="4"/>
                <w:szCs w:val="4"/>
              </w:rPr>
            </w:pPr>
          </w:p>
        </w:tc>
        <w:tc>
          <w:tcPr>
            <w:tcW w:w="4350" w:type="dxa"/>
            <w:vAlign w:val="center"/>
          </w:tcPr>
          <w:p w14:paraId="174A5F50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stable_threshold</w:t>
            </w:r>
          </w:p>
        </w:tc>
        <w:tc>
          <w:tcPr>
            <w:tcW w:w="3510" w:type="dxa"/>
            <w:vAlign w:val="center"/>
          </w:tcPr>
          <w:p w14:paraId="77B00E26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50，恢复需22个连续好样本</w:t>
            </w:r>
          </w:p>
        </w:tc>
      </w:tr>
    </w:tbl>
    <w:p w14:paraId="161F0557">
      <w:pPr>
        <w:pStyle w:val="2"/>
        <w:pBdr>
          <w:bottom w:val="single" w:color="4F81BD" w:sz="12" w:space="5"/>
        </w:pBdr>
        <w:bidi w:val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附录B 交付分析数据清单</w:t>
      </w:r>
    </w:p>
    <w:p w14:paraId="1097897B">
      <w:pPr>
        <w:pStyle w:val="4"/>
        <w:bidi w:val="0"/>
        <w:spacing w:before="90" w:after="90"/>
        <w:ind w:left="90" w:right="90" w:firstLine="0"/>
        <w:jc w:val="both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后续提交实测数据进行分析时，请尽量一次性提供：</w:t>
      </w:r>
    </w:p>
    <w:p w14:paraId="10A932F3">
      <w:pPr>
        <w:pStyle w:val="4"/>
        <w:numPr>
          <w:ilvl w:val="0"/>
          <w:numId w:val="26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完整rosbag，包含第9.2节话题。 </w:t>
      </w:r>
    </w:p>
    <w:p w14:paraId="5DFB1C3C">
      <w:pPr>
        <w:pStyle w:val="4"/>
        <w:numPr>
          <w:ilvl w:val="0"/>
          <w:numId w:val="26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fusion、android_manager、serial_reader和FAST-LIO完整日志，不要只截异常行。 </w:t>
      </w:r>
    </w:p>
    <w:p w14:paraId="3015DC97">
      <w:pPr>
        <w:pStyle w:val="4"/>
        <w:numPr>
          <w:ilvl w:val="0"/>
          <w:numId w:val="26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测试使用的两个yaml、三个launch和地图*.mp。 </w:t>
      </w:r>
    </w:p>
    <w:p w14:paraId="71B1AE1D">
      <w:pPr>
        <w:pStyle w:val="4"/>
        <w:numPr>
          <w:ilvl w:val="0"/>
          <w:numId w:val="26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测试事件时间表和现场描述。 </w:t>
      </w:r>
    </w:p>
    <w:p w14:paraId="0786D8AA">
      <w:pPr>
        <w:pStyle w:val="4"/>
        <w:numPr>
          <w:ilvl w:val="0"/>
          <w:numId w:val="26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独立测量距离、高差、坡度或参考轨迹。 </w:t>
      </w:r>
    </w:p>
    <w:p w14:paraId="275B947A">
      <w:pPr>
        <w:pStyle w:val="4"/>
        <w:numPr>
          <w:ilvl w:val="0"/>
          <w:numId w:val="26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雷达、IMU、GNSS天线和base_link安装位置图，标出轴向和距离。 </w:t>
      </w:r>
    </w:p>
    <w:p w14:paraId="380999C2">
      <w:pPr>
        <w:pStyle w:val="4"/>
        <w:numPr>
          <w:ilvl w:val="0"/>
          <w:numId w:val="26"/>
        </w:numPr>
        <w:tabs>
          <w:tab w:val="left" w:pos="799"/>
        </w:tabs>
        <w:bidi w:val="0"/>
        <w:spacing w:before="90" w:after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UM981配置与固件信息。 </w:t>
      </w:r>
    </w:p>
    <w:p w14:paraId="356BFFCE">
      <w:pPr>
        <w:pStyle w:val="4"/>
        <w:numPr>
          <w:ilvl w:val="0"/>
          <w:numId w:val="26"/>
        </w:numPr>
        <w:tabs>
          <w:tab w:val="left" w:pos="799"/>
        </w:tabs>
        <w:bidi w:val="0"/>
        <w:ind w:left="799" w:right="90" w:hanging="283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 xml:space="preserve">说明是建图模式、定位模式、fusion-only重启还是FAST-LIO重启。 </w:t>
      </w:r>
    </w:p>
    <w:p w14:paraId="748E3831">
      <w:pPr>
        <w:pStyle w:val="4"/>
        <w:bidi w:val="0"/>
        <w:spacing w:before="150" w:after="150"/>
        <w:ind w:left="150" w:right="150" w:firstLine="0"/>
        <w:rPr>
          <w:rFonts w:hint="default" w:ascii="Ubuntu" w:hAnsi="Ubuntu" w:cs="Ubuntu" w:eastAsiaTheme="minorEastAsia"/>
          <w:bdr w:val="single" w:color="70AD47" w:sz="30" w:space="0"/>
          <w:shd w:val="clear" w:fill="E2F0D9"/>
        </w:rPr>
      </w:pPr>
      <w:r>
        <w:rPr>
          <w:rFonts w:hint="default" w:ascii="Ubuntu" w:hAnsi="Ubuntu" w:cs="Ubuntu" w:eastAsiaTheme="minorEastAsia"/>
          <w:b/>
          <w:bdr w:val="single" w:color="70AD47" w:sz="30" w:space="0"/>
          <w:shd w:val="clear" w:fill="E2F0D9"/>
        </w:rPr>
        <w:t>推荐最小可分析数据：</w:t>
      </w:r>
      <w:r>
        <w:rPr>
          <w:rFonts w:hint="default" w:ascii="Ubuntu" w:hAnsi="Ubuntu" w:cs="Ubuntu" w:eastAsiaTheme="minorEastAsia"/>
          <w:bdr w:val="single" w:color="70AD47" w:sz="30" w:space="0"/>
          <w:shd w:val="clear" w:fill="E2F0D9"/>
        </w:rPr>
        <w:t>一段完整冷启动 + 30秒静止 + 一条已知长度直线往返 + 一个完整牛耕式掉头 + GPS失效/恢复过程。该组合能够同时覆盖静态初始化、姿态、尺度、直线退化、转弯锁定、z对齐和状态切换。</w:t>
      </w:r>
    </w:p>
    <w:p w14:paraId="294508BB">
      <w:pPr>
        <w:pStyle w:val="2"/>
        <w:bidi w:val="0"/>
        <w:ind w:left="150" w:right="150" w:firstLine="0"/>
        <w:jc w:val="left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附录C 当前源码定位索引</w:t>
      </w:r>
    </w:p>
    <w:tbl>
      <w:tblPr>
        <w:tblStyle w:val="13"/>
        <w:tblW w:w="9360" w:type="dxa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06"/>
        <w:gridCol w:w="6754"/>
      </w:tblGrid>
      <w:tr w14:paraId="29461DB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606" w:type="dxa"/>
            <w:vAlign w:val="center"/>
          </w:tcPr>
          <w:p w14:paraId="00A4559E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主题</w:t>
            </w:r>
          </w:p>
        </w:tc>
        <w:tc>
          <w:tcPr>
            <w:tcW w:w="6754" w:type="dxa"/>
            <w:vAlign w:val="center"/>
          </w:tcPr>
          <w:p w14:paraId="6054A8AE">
            <w:pPr>
              <w:pStyle w:val="27"/>
              <w:suppressLineNumbers/>
              <w:shd w:val="clear" w:fill="D9EAF7"/>
              <w:bidi w:val="0"/>
              <w:spacing w:before="90" w:after="90"/>
              <w:jc w:val="center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源码位置</w:t>
            </w:r>
          </w:p>
        </w:tc>
      </w:tr>
      <w:tr w14:paraId="3E4B1B57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606" w:type="dxa"/>
            <w:vAlign w:val="center"/>
          </w:tcPr>
          <w:p w14:paraId="06B13C1A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静态检测器</w:t>
            </w:r>
          </w:p>
        </w:tc>
        <w:tc>
          <w:tcPr>
            <w:tcW w:w="6754" w:type="dxa"/>
            <w:vAlign w:val="center"/>
          </w:tcPr>
          <w:p w14:paraId="69E761A0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libo/lidar-slam-v2/src/fast-lio/include/imu_static_detector.h</w:t>
            </w:r>
          </w:p>
        </w:tc>
      </w:tr>
      <w:tr w14:paraId="1170D551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606" w:type="dxa"/>
            <w:vAlign w:val="center"/>
          </w:tcPr>
          <w:p w14:paraId="0F827583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FAST-LIO IMU初始化</w:t>
            </w:r>
          </w:p>
        </w:tc>
        <w:tc>
          <w:tcPr>
            <w:tcW w:w="6754" w:type="dxa"/>
            <w:vAlign w:val="center"/>
          </w:tcPr>
          <w:p w14:paraId="1BE99FEF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libo/lidar-slam-v2/src/fast-lio/src/IMU_Processing.hpp</w:t>
            </w:r>
          </w:p>
        </w:tc>
      </w:tr>
      <w:tr w14:paraId="0CD9EEE0">
        <w:tc>
          <w:tcPr>
            <w:tcW w:w="2606" w:type="dxa"/>
            <w:vAlign w:val="center"/>
          </w:tcPr>
          <w:p w14:paraId="0343AED9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重力水平化</w:t>
            </w:r>
          </w:p>
        </w:tc>
        <w:tc>
          <w:tcPr>
            <w:tcW w:w="6754" w:type="dxa"/>
            <w:vAlign w:val="center"/>
          </w:tcPr>
          <w:p w14:paraId="026823A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libo/lidar-slam-v2/src/fast-lio/include/gravity_leveling.h</w:t>
            </w:r>
          </w:p>
        </w:tc>
      </w:tr>
      <w:tr w14:paraId="01AEAAB8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606" w:type="dxa"/>
            <w:vAlign w:val="center"/>
          </w:tcPr>
          <w:p w14:paraId="517299B0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水平话题与代际</w:t>
            </w:r>
          </w:p>
        </w:tc>
        <w:tc>
          <w:tcPr>
            <w:tcW w:w="6754" w:type="dxa"/>
            <w:vAlign w:val="center"/>
          </w:tcPr>
          <w:p w14:paraId="66345C51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libo/lidar-slam-v2/src/fast-lio/src/laserMapping.cpp</w:t>
            </w:r>
          </w:p>
        </w:tc>
      </w:tr>
      <w:tr w14:paraId="799642D7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606" w:type="dxa"/>
            <w:vAlign w:val="center"/>
          </w:tcPr>
          <w:p w14:paraId="7DA942A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4DoF主状态机</w:t>
            </w:r>
          </w:p>
        </w:tc>
        <w:tc>
          <w:tcPr>
            <w:tcW w:w="6754" w:type="dxa"/>
            <w:vAlign w:val="center"/>
          </w:tcPr>
          <w:p w14:paraId="1B3E0E1C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libo/lidar-slam-v2/src/fusion_4dof/src/fusion_4dof.cc</w:t>
            </w:r>
          </w:p>
        </w:tc>
      </w:tr>
      <w:tr w14:paraId="006839BC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606" w:type="dxa"/>
            <w:vAlign w:val="center"/>
          </w:tcPr>
          <w:p w14:paraId="30A08FBC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水平/竖直估计</w:t>
            </w:r>
          </w:p>
        </w:tc>
        <w:tc>
          <w:tcPr>
            <w:tcW w:w="6754" w:type="dxa"/>
            <w:vAlign w:val="center"/>
          </w:tcPr>
          <w:p w14:paraId="27E6CF5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libo/lidar-slam-v2/src/fusion_4dof/src/global_fusion.cc</w:t>
            </w:r>
          </w:p>
        </w:tc>
      </w:tr>
      <w:tr w14:paraId="19A22DB6">
        <w:tc>
          <w:tcPr>
            <w:tcW w:w="2606" w:type="dxa"/>
            <w:vAlign w:val="center"/>
          </w:tcPr>
          <w:p w14:paraId="6D6744B0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4DoF参数</w:t>
            </w:r>
          </w:p>
        </w:tc>
        <w:tc>
          <w:tcPr>
            <w:tcW w:w="6754" w:type="dxa"/>
            <w:vAlign w:val="center"/>
          </w:tcPr>
          <w:p w14:paraId="5F7E3F1F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libo/lidar-slam-v2/src/fusion_4dof/config/fusion_4dof_params.yaml</w:t>
            </w:r>
          </w:p>
        </w:tc>
      </w:tr>
      <w:tr w14:paraId="74820DB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606" w:type="dxa"/>
            <w:vAlign w:val="center"/>
          </w:tcPr>
          <w:p w14:paraId="07F93D1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管理与停车</w:t>
            </w:r>
          </w:p>
        </w:tc>
        <w:tc>
          <w:tcPr>
            <w:tcW w:w="6754" w:type="dxa"/>
            <w:vAlign w:val="center"/>
          </w:tcPr>
          <w:p w14:paraId="1905E4E1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libo/lidar-slam-v2/src/android_manager_4dof/src/android_manager_4dof.cc</w:t>
            </w:r>
          </w:p>
        </w:tc>
      </w:tr>
      <w:tr w14:paraId="7ADC2AC9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606" w:type="dxa"/>
            <w:vAlign w:val="center"/>
          </w:tcPr>
          <w:p w14:paraId="77F0983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UM981协议</w:t>
            </w:r>
          </w:p>
        </w:tc>
        <w:tc>
          <w:tcPr>
            <w:tcW w:w="6754" w:type="dxa"/>
            <w:vAlign w:val="center"/>
          </w:tcPr>
          <w:p w14:paraId="207449EE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libo/1ant/src/pub_pos_yaw/include/ins_protocol.h</w:t>
            </w:r>
          </w:p>
        </w:tc>
      </w:tr>
      <w:tr w14:paraId="7627D297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606" w:type="dxa"/>
            <w:vAlign w:val="center"/>
          </w:tcPr>
          <w:p w14:paraId="15D6CA07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UM981发布</w:t>
            </w:r>
          </w:p>
        </w:tc>
        <w:tc>
          <w:tcPr>
            <w:tcW w:w="6754" w:type="dxa"/>
            <w:vAlign w:val="center"/>
          </w:tcPr>
          <w:p w14:paraId="5D9EF1BD">
            <w:pPr>
              <w:pStyle w:val="22"/>
              <w:bidi w:val="0"/>
              <w:spacing w:before="90" w:after="90"/>
              <w:rPr>
                <w:rFonts w:hint="default" w:ascii="Ubuntu" w:hAnsi="Ubuntu" w:cs="Ubuntu" w:eastAsiaTheme="minorEastAsia"/>
              </w:rPr>
            </w:pPr>
            <w:r>
              <w:rPr>
                <w:rFonts w:hint="default" w:ascii="Ubuntu" w:hAnsi="Ubuntu" w:cs="Ubuntu" w:eastAsiaTheme="minorEastAsia"/>
              </w:rPr>
              <w:t>libo/1ant/src/pub_pos_yaw/src/pub_position.cpp</w:t>
            </w:r>
          </w:p>
        </w:tc>
      </w:tr>
    </w:tbl>
    <w:p w14:paraId="454CE777">
      <w:pPr>
        <w:pStyle w:val="28"/>
        <w:bidi w:val="0"/>
        <w:spacing w:before="600" w:after="90"/>
        <w:jc w:val="center"/>
        <w:rPr>
          <w:rFonts w:hint="default" w:ascii="Ubuntu" w:hAnsi="Ubuntu" w:cs="Ubuntu" w:eastAsiaTheme="minorEastAsia"/>
        </w:rPr>
      </w:pPr>
      <w:r>
        <w:rPr>
          <w:rFonts w:hint="default" w:ascii="Ubuntu" w:hAnsi="Ubuntu" w:cs="Ubuntu" w:eastAsiaTheme="minorEastAsia"/>
        </w:rPr>
        <w:t>—— 文档结束 ——</w:t>
      </w:r>
    </w:p>
    <w:sectPr>
      <w:pgSz w:w="11906" w:h="16838"/>
      <w:pgMar w:top="1247" w:right="1134" w:bottom="1247" w:left="1134" w:header="0" w:footer="0" w:gutter="0"/>
      <w:pgNumType w:fmt="decimal"/>
      <w:cols w:space="720" w:num="1"/>
      <w:formProt w:val="0"/>
      <w:docGrid w:linePitch="600" w:charSpace="3891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Lohit Devanagari">
    <w:panose1 w:val="020B0600000000000000"/>
    <w:charset w:val="00"/>
    <w:family w:val="auto"/>
    <w:pitch w:val="default"/>
    <w:sig w:usb0="80008023" w:usb1="00002042" w:usb2="00000000" w:usb3="00000000" w:csb0="00000001" w:csb1="00000000"/>
  </w:font>
  <w:font w:name="Liberation Serif">
    <w:panose1 w:val="02020603050405020304"/>
    <w:charset w:val="01"/>
    <w:family w:val="roman"/>
    <w:pitch w:val="default"/>
    <w:sig w:usb0="A00002AF" w:usb1="500078FB" w:usb2="00000000" w:usb3="00000000" w:csb0="6000009F" w:csb1="DFD7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Noto Sans CJK SC;Microsoft YaHe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Liberation Sans Unicode MS">
    <w:altName w:val="Gubbi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DejaVu Sans Mono;Courier New;mo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panose1 w:val="05010000000000000000"/>
    <w:charset w:val="02"/>
    <w:family w:val="auto"/>
    <w:pitch w:val="default"/>
    <w:sig w:usb0="800000AF" w:usb1="1001ECEA" w:usb2="00000000" w:usb3="00000000" w:csb0="80000001" w:csb1="00000000"/>
  </w:font>
  <w:font w:name="Liberation Sans">
    <w:panose1 w:val="020B0604020202020204"/>
    <w:charset w:val="01"/>
    <w:family w:val="swiss"/>
    <w:pitch w:val="default"/>
    <w:sig w:usb0="A00002AF" w:usb1="500078FB" w:usb2="00000000" w:usb3="00000000" w:csb0="6000009F" w:csb1="DFD70000"/>
  </w:font>
  <w:font w:name="Cambria Math;Times New Roman;se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Ani">
    <w:panose1 w:val="00000000000000000000"/>
    <w:charset w:val="00"/>
    <w:family w:val="auto"/>
    <w:pitch w:val="default"/>
    <w:sig w:usb0="00010001" w:usb1="00000000" w:usb2="00000000" w:usb3="00000000" w:csb0="00000000" w:csb1="00000000"/>
  </w:font>
  <w:font w:name="Ubuntu">
    <w:panose1 w:val="020B0504030602030204"/>
    <w:charset w:val="00"/>
    <w:family w:val="auto"/>
    <w:pitch w:val="default"/>
    <w:sig w:usb0="E00002FF" w:usb1="5000205B" w:usb2="00000000" w:usb3="00000000" w:csb0="2000009F" w:csb1="56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88" w:lineRule="auto"/>
      </w:pPr>
      <w:r>
        <w:separator/>
      </w:r>
    </w:p>
  </w:footnote>
  <w:footnote w:type="continuationSeparator" w:id="1">
    <w:p>
      <w:pPr>
        <w:spacing w:line="3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BE8E67"/>
    <w:multiLevelType w:val="multilevel"/>
    <w:tmpl w:val="89BE8E67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">
    <w:nsid w:val="97FECA74"/>
    <w:multiLevelType w:val="multilevel"/>
    <w:tmpl w:val="97FECA74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">
    <w:nsid w:val="B7FA8D75"/>
    <w:multiLevelType w:val="multilevel"/>
    <w:tmpl w:val="B7FA8D75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3">
    <w:nsid w:val="B9EA6F65"/>
    <w:multiLevelType w:val="multilevel"/>
    <w:tmpl w:val="B9EA6F65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4">
    <w:nsid w:val="CFBF03C6"/>
    <w:multiLevelType w:val="multilevel"/>
    <w:tmpl w:val="CFBF03C6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5">
    <w:nsid w:val="CFEFFB08"/>
    <w:multiLevelType w:val="multilevel"/>
    <w:tmpl w:val="CFEFFB08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6">
    <w:nsid w:val="CFFE7888"/>
    <w:multiLevelType w:val="multilevel"/>
    <w:tmpl w:val="CFFE7888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7">
    <w:nsid w:val="CFFFA74A"/>
    <w:multiLevelType w:val="multilevel"/>
    <w:tmpl w:val="CFFFA74A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8">
    <w:nsid w:val="DF6EB64C"/>
    <w:multiLevelType w:val="multilevel"/>
    <w:tmpl w:val="DF6EB64C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9">
    <w:nsid w:val="E73AF2ED"/>
    <w:multiLevelType w:val="multilevel"/>
    <w:tmpl w:val="E73AF2ED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0">
    <w:nsid w:val="EB9EAA63"/>
    <w:multiLevelType w:val="multilevel"/>
    <w:tmpl w:val="EB9EAA63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1">
    <w:nsid w:val="F76E4B2B"/>
    <w:multiLevelType w:val="multilevel"/>
    <w:tmpl w:val="F76E4B2B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2">
    <w:nsid w:val="F7DBFD04"/>
    <w:multiLevelType w:val="multilevel"/>
    <w:tmpl w:val="F7DBFD04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3">
    <w:nsid w:val="F7EEC9ED"/>
    <w:multiLevelType w:val="multilevel"/>
    <w:tmpl w:val="F7EEC9ED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4">
    <w:nsid w:val="F7F03767"/>
    <w:multiLevelType w:val="multilevel"/>
    <w:tmpl w:val="F7F03767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5">
    <w:nsid w:val="FD7EC127"/>
    <w:multiLevelType w:val="multilevel"/>
    <w:tmpl w:val="FD7EC127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6">
    <w:nsid w:val="FE7EE598"/>
    <w:multiLevelType w:val="multilevel"/>
    <w:tmpl w:val="FE7EE598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7">
    <w:nsid w:val="FF7D21D2"/>
    <w:multiLevelType w:val="multilevel"/>
    <w:tmpl w:val="FF7D21D2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8">
    <w:nsid w:val="FFB7ABCC"/>
    <w:multiLevelType w:val="multilevel"/>
    <w:tmpl w:val="FFB7ABCC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9">
    <w:nsid w:val="FFFF1645"/>
    <w:multiLevelType w:val="multilevel"/>
    <w:tmpl w:val="FFFF1645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0">
    <w:nsid w:val="FFFF7AD2"/>
    <w:multiLevelType w:val="multilevel"/>
    <w:tmpl w:val="FFFF7AD2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1">
    <w:nsid w:val="57BFF6FD"/>
    <w:multiLevelType w:val="multilevel"/>
    <w:tmpl w:val="57BFF6FD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2">
    <w:nsid w:val="7BBDE0EC"/>
    <w:multiLevelType w:val="multilevel"/>
    <w:tmpl w:val="7BBDE0EC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23">
    <w:nsid w:val="7E4C4446"/>
    <w:multiLevelType w:val="multilevel"/>
    <w:tmpl w:val="7E4C4446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24">
    <w:nsid w:val="7ED72ADD"/>
    <w:multiLevelType w:val="multilevel"/>
    <w:tmpl w:val="7ED72ADD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5">
    <w:nsid w:val="7FBE22F0"/>
    <w:multiLevelType w:val="multilevel"/>
    <w:tmpl w:val="7FBE22F0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num w:numId="1">
    <w:abstractNumId w:val="7"/>
  </w:num>
  <w:num w:numId="2">
    <w:abstractNumId w:val="23"/>
  </w:num>
  <w:num w:numId="3">
    <w:abstractNumId w:val="21"/>
  </w:num>
  <w:num w:numId="4">
    <w:abstractNumId w:val="20"/>
  </w:num>
  <w:num w:numId="5">
    <w:abstractNumId w:val="17"/>
  </w:num>
  <w:num w:numId="6">
    <w:abstractNumId w:val="8"/>
  </w:num>
  <w:num w:numId="7">
    <w:abstractNumId w:val="16"/>
  </w:num>
  <w:num w:numId="8">
    <w:abstractNumId w:val="15"/>
  </w:num>
  <w:num w:numId="9">
    <w:abstractNumId w:val="3"/>
  </w:num>
  <w:num w:numId="10">
    <w:abstractNumId w:val="9"/>
  </w:num>
  <w:num w:numId="11">
    <w:abstractNumId w:val="1"/>
  </w:num>
  <w:num w:numId="12">
    <w:abstractNumId w:val="13"/>
  </w:num>
  <w:num w:numId="13">
    <w:abstractNumId w:val="2"/>
  </w:num>
  <w:num w:numId="14">
    <w:abstractNumId w:val="24"/>
  </w:num>
  <w:num w:numId="15">
    <w:abstractNumId w:val="0"/>
  </w:num>
  <w:num w:numId="16">
    <w:abstractNumId w:val="19"/>
  </w:num>
  <w:num w:numId="17">
    <w:abstractNumId w:val="4"/>
  </w:num>
  <w:num w:numId="18">
    <w:abstractNumId w:val="25"/>
  </w:num>
  <w:num w:numId="19">
    <w:abstractNumId w:val="14"/>
  </w:num>
  <w:num w:numId="20">
    <w:abstractNumId w:val="11"/>
  </w:num>
  <w:num w:numId="21">
    <w:abstractNumId w:val="18"/>
  </w:num>
  <w:num w:numId="22">
    <w:abstractNumId w:val="10"/>
  </w:num>
  <w:num w:numId="23">
    <w:abstractNumId w:val="12"/>
  </w:num>
  <w:num w:numId="24">
    <w:abstractNumId w:val="5"/>
  </w:num>
  <w:num w:numId="25">
    <w:abstractNumId w:val="6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0"/>
  <w:documentProtection w:enforcement="0"/>
  <w:defaultTabStop w:val="1134"/>
  <w:autoHyphenation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78E1FFD4"/>
    <w:rsid w:val="AFBE34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line="388" w:lineRule="auto"/>
    </w:pPr>
    <w:rPr>
      <w:rFonts w:ascii="Noto Sans CJK SC;Microsoft YaHe" w:hAnsi="Noto Sans CJK SC;Microsoft YaHe" w:eastAsia="Noto Sans CJK SC;Microsoft YaHe" w:cs="Noto Sans CJK SC;Microsoft YaHe"/>
      <w:color w:val="222222"/>
      <w:sz w:val="21"/>
      <w:szCs w:val="21"/>
      <w:lang w:val="en-US" w:eastAsia="zh-CN" w:bidi="hi-IN"/>
    </w:rPr>
  </w:style>
  <w:style w:type="paragraph" w:styleId="2">
    <w:name w:val="heading 1"/>
    <w:basedOn w:val="3"/>
    <w:next w:val="4"/>
    <w:qFormat/>
    <w:uiPriority w:val="0"/>
    <w:pPr>
      <w:pageBreakBefore/>
      <w:pBdr>
        <w:bottom w:val="single" w:color="4F81BD" w:sz="12" w:space="5"/>
      </w:pBdr>
    </w:pPr>
    <w:rPr>
      <w:rFonts w:ascii="Liberation Sans Unicode MS" w:hAnsi="Liberation Sans Unicode MS"/>
      <w:b/>
      <w:bCs/>
      <w:color w:val="17365D"/>
      <w:sz w:val="40"/>
      <w:szCs w:val="40"/>
    </w:rPr>
  </w:style>
  <w:style w:type="paragraph" w:styleId="5">
    <w:name w:val="heading 2"/>
    <w:basedOn w:val="3"/>
    <w:next w:val="4"/>
    <w:qFormat/>
    <w:uiPriority w:val="0"/>
    <w:pPr>
      <w:spacing w:before="330" w:after="120"/>
      <w:outlineLvl w:val="1"/>
    </w:pPr>
    <w:rPr>
      <w:rFonts w:ascii="Liberation Serif" w:hAnsi="Liberation Serif" w:eastAsia="Noto Serif CJK SC" w:cs="Lohit Devanagari"/>
      <w:b/>
      <w:bCs/>
      <w:color w:val="1F4E79"/>
      <w:sz w:val="30"/>
      <w:szCs w:val="30"/>
    </w:rPr>
  </w:style>
  <w:style w:type="paragraph" w:styleId="6">
    <w:name w:val="heading 3"/>
    <w:basedOn w:val="3"/>
    <w:next w:val="4"/>
    <w:qFormat/>
    <w:uiPriority w:val="0"/>
    <w:pPr>
      <w:spacing w:before="240" w:after="120"/>
      <w:outlineLvl w:val="2"/>
    </w:pPr>
    <w:rPr>
      <w:rFonts w:ascii="Liberation Serif" w:hAnsi="Liberation Serif" w:eastAsia="Noto Serif CJK SC" w:cs="Lohit Devanagari"/>
      <w:b/>
      <w:bCs/>
      <w:color w:val="365F91"/>
      <w:sz w:val="24"/>
      <w:szCs w:val="24"/>
    </w:rPr>
  </w:style>
  <w:style w:type="paragraph" w:styleId="7">
    <w:name w:val="heading 4"/>
    <w:basedOn w:val="3"/>
    <w:next w:val="4"/>
    <w:qFormat/>
    <w:uiPriority w:val="0"/>
    <w:pPr>
      <w:spacing w:before="180" w:after="120"/>
      <w:outlineLvl w:val="3"/>
    </w:pPr>
    <w:rPr>
      <w:rFonts w:ascii="Liberation Serif" w:hAnsi="Liberation Serif" w:eastAsia="Noto Serif CJK SC" w:cs="Lohit Devanagari"/>
      <w:b/>
      <w:bCs/>
      <w:color w:val="244062"/>
      <w:sz w:val="21"/>
      <w:szCs w:val="21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283"/>
    </w:pPr>
    <w:rPr>
      <w:rFonts w:ascii="Liberation Sans" w:hAnsi="Liberation Sans"/>
      <w:sz w:val="28"/>
      <w:szCs w:val="28"/>
    </w:rPr>
  </w:style>
  <w:style w:type="paragraph" w:styleId="4">
    <w:name w:val="Body Text"/>
    <w:basedOn w:val="1"/>
    <w:qFormat/>
    <w:uiPriority w:val="0"/>
    <w:pPr>
      <w:spacing w:before="90" w:after="90"/>
      <w:ind w:left="90" w:right="90" w:firstLine="0"/>
      <w:jc w:val="both"/>
    </w:p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9">
    <w:name w:val="footer"/>
    <w:basedOn w:val="1"/>
    <w:uiPriority w:val="0"/>
    <w:pPr>
      <w:suppressLineNumbers/>
      <w:tabs>
        <w:tab w:val="center" w:pos="4818"/>
        <w:tab w:val="right" w:pos="9637"/>
      </w:tabs>
    </w:pPr>
  </w:style>
  <w:style w:type="paragraph" w:styleId="10">
    <w:name w:val="envelope return"/>
    <w:basedOn w:val="1"/>
    <w:uiPriority w:val="0"/>
    <w:rPr>
      <w:i/>
    </w:rPr>
  </w:style>
  <w:style w:type="paragraph" w:styleId="11">
    <w:name w:val="header"/>
    <w:basedOn w:val="1"/>
    <w:uiPriority w:val="0"/>
    <w:pPr>
      <w:suppressLineNumbers/>
      <w:tabs>
        <w:tab w:val="center" w:pos="4818"/>
        <w:tab w:val="right" w:pos="9637"/>
      </w:tabs>
    </w:pPr>
  </w:style>
  <w:style w:type="paragraph" w:styleId="12">
    <w:name w:val="List"/>
    <w:basedOn w:val="4"/>
    <w:qFormat/>
    <w:uiPriority w:val="0"/>
    <w:rPr>
      <w:rFonts w:cs="Lohit Devanagari"/>
    </w:rPr>
  </w:style>
  <w:style w:type="character" w:styleId="15">
    <w:name w:val="Hyperlink"/>
    <w:uiPriority w:val="0"/>
    <w:rPr>
      <w:color w:val="000080"/>
      <w:u w:val="single"/>
    </w:rPr>
  </w:style>
  <w:style w:type="character" w:customStyle="1" w:styleId="16">
    <w:name w:val="Endnote Characters"/>
    <w:qFormat/>
    <w:uiPriority w:val="0"/>
  </w:style>
  <w:style w:type="character" w:customStyle="1" w:styleId="17">
    <w:name w:val="Footnote Characters"/>
    <w:qFormat/>
    <w:uiPriority w:val="0"/>
  </w:style>
  <w:style w:type="character" w:customStyle="1" w:styleId="18">
    <w:name w:val="Source Text"/>
    <w:qFormat/>
    <w:uiPriority w:val="0"/>
    <w:rPr>
      <w:rFonts w:ascii="DejaVu Sans Mono;Courier New;mo" w:hAnsi="DejaVu Sans Mono;Courier New;mo" w:eastAsia="DejaVu Sans Mono;Courier New;mo" w:cs="DejaVu Sans Mono;Courier New;mo"/>
    </w:rPr>
  </w:style>
  <w:style w:type="character" w:customStyle="1" w:styleId="19">
    <w:name w:val="Numbering Symbols"/>
    <w:qFormat/>
    <w:uiPriority w:val="0"/>
  </w:style>
  <w:style w:type="character" w:customStyle="1" w:styleId="20">
    <w:name w:val="Bullets"/>
    <w:qFormat/>
    <w:uiPriority w:val="0"/>
    <w:rPr>
      <w:rFonts w:ascii="OpenSymbol" w:hAnsi="OpenSymbol" w:eastAsia="OpenSymbol" w:cs="OpenSymbol"/>
    </w:rPr>
  </w:style>
  <w:style w:type="paragraph" w:customStyle="1" w:styleId="21">
    <w:name w:val="Horizontal Line"/>
    <w:basedOn w:val="1"/>
    <w:next w:val="4"/>
    <w:qFormat/>
    <w:uiPriority w:val="0"/>
    <w:pPr>
      <w:pBdr>
        <w:bottom w:val="double" w:color="808080" w:sz="2" w:space="0"/>
      </w:pBdr>
      <w:spacing w:before="0" w:after="283"/>
    </w:pPr>
    <w:rPr>
      <w:sz w:val="12"/>
    </w:rPr>
  </w:style>
  <w:style w:type="paragraph" w:customStyle="1" w:styleId="22">
    <w:name w:val="Table Contents"/>
    <w:basedOn w:val="4"/>
    <w:qFormat/>
    <w:uiPriority w:val="0"/>
  </w:style>
  <w:style w:type="paragraph" w:customStyle="1" w:styleId="23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24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25">
    <w:name w:val="Heading 1.first"/>
    <w:basedOn w:val="2"/>
    <w:qFormat/>
    <w:uiPriority w:val="0"/>
  </w:style>
  <w:style w:type="paragraph" w:customStyle="1" w:styleId="26">
    <w:name w:val="Preformatted Text"/>
    <w:basedOn w:val="1"/>
    <w:qFormat/>
    <w:uiPriority w:val="0"/>
    <w:pPr>
      <w:pBdr>
        <w:top w:val="single" w:color="C9D2DC" w:sz="2" w:space="7"/>
        <w:left w:val="single" w:color="C9D2DC" w:sz="2" w:space="7"/>
        <w:bottom w:val="single" w:color="C9D2DC" w:sz="2" w:space="7"/>
        <w:right w:val="single" w:color="C9D2DC" w:sz="2" w:space="7"/>
      </w:pBdr>
      <w:shd w:val="clear" w:fill="F4F6F8"/>
      <w:spacing w:before="0" w:after="0" w:line="340" w:lineRule="auto"/>
    </w:pPr>
    <w:rPr>
      <w:rFonts w:ascii="DejaVu Sans Mono;Courier New;mo" w:hAnsi="DejaVu Sans Mono;Courier New;mo" w:eastAsia="DejaVu Sans Mono;Courier New;mo" w:cs="DejaVu Sans Mono;Courier New;mo"/>
      <w:sz w:val="17"/>
      <w:szCs w:val="17"/>
    </w:rPr>
  </w:style>
  <w:style w:type="paragraph" w:customStyle="1" w:styleId="27">
    <w:name w:val="Table Heading"/>
    <w:basedOn w:val="22"/>
    <w:qFormat/>
    <w:uiPriority w:val="0"/>
    <w:pPr>
      <w:suppressLineNumbers/>
      <w:shd w:val="clear" w:fill="D9EAF7"/>
      <w:jc w:val="center"/>
    </w:pPr>
    <w:rPr>
      <w:b/>
      <w:bCs/>
      <w:color w:val="17365D"/>
    </w:rPr>
  </w:style>
  <w:style w:type="paragraph" w:customStyle="1" w:styleId="28">
    <w:name w:val="Text Body.small"/>
    <w:basedOn w:val="4"/>
    <w:qFormat/>
    <w:uiPriority w:val="0"/>
    <w:rPr>
      <w:color w:val="555555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TotalTime>0</TotalTime>
  <ScaleCrop>false</ScaleCrop>
  <LinksUpToDate>false</LinksUpToDate>
  <Application>WPS Office_12.1.2.25882_F1E327BC-269C-435d-A152-05C5408002CA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2026-08-10T16:16:08Z</dcterms:created>
  <dc:creator>libo</dc:creator>
  <cp:lastModifiedBy>libo</cp:lastModifiedBy>
  <dcterms:modified xsi:type="dcterms:W3CDTF">2026-08-10T16:16:45Z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46F0CDEC9A9226E0D388796A8CFA88EE_42</vt:lpwstr>
  </property>
</Properties>
</file>