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0" w:line="240" w:lineRule="auto"/>
      </w:pPr>
      <w:r>
        <w:rPr>
          <w:rFonts w:ascii="Calibri" w:hAnsi="Calibri" w:eastAsia="Microsoft YaHei"/>
          <w:b/>
          <w:i w:val="0"/>
          <w:color w:val="2E74B5"/>
          <w:sz w:val="20"/>
        </w:rPr>
        <w:t>NEW EMPLOYEE ENABLEMENT</w:t>
      </w:r>
    </w:p>
    <w:p>
      <w:pPr>
        <w:pStyle w:val="Title"/>
        <w:jc w:val="left"/>
      </w:pPr>
      <w:r>
        <w:rPr>
          <w:rFonts w:ascii="Calibri" w:hAnsi="Calibri" w:eastAsia="Microsoft YaHei"/>
          <w:b/>
          <w:i w:val="0"/>
          <w:color w:val="203A5F"/>
          <w:sz w:val="56"/>
        </w:rPr>
        <w:t>人力行政部</w:t>
        <w:br/>
        <w:t>新人培训内容与考核要求</w:t>
      </w:r>
    </w:p>
    <w:p>
      <w:pPr>
        <w:pStyle w:val="Subtitle"/>
      </w:pPr>
      <w:r>
        <w:rPr>
          <w:rFonts w:ascii="Calibri" w:hAnsi="Calibri" w:eastAsia="Microsoft YaHei"/>
          <w:b w:val="0"/>
          <w:i w:val="0"/>
          <w:color w:val="666666"/>
          <w:sz w:val="26"/>
        </w:rPr>
        <w:t>通用示范版 · 适用于入职后首个培训周期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AD3DD"/>
          <w:left w:val="single" w:sz="5" w:color="CAD3DD"/>
          <w:bottom w:val="single" w:sz="5" w:color="CAD3DD"/>
          <w:right w:val="single" w:sz="5" w:color="CAD3DD"/>
          <w:insideH w:val="single" w:sz="5" w:color="CAD3DD"/>
          <w:insideV w:val="single" w:sz="5" w:color="CAD3DD"/>
        </w:tblBorders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203A5F"/>
                <w:sz w:val="19"/>
              </w:rPr>
              <w:t>文件编号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333333"/>
                <w:sz w:val="19"/>
              </w:rPr>
              <w:t>HR-ONB-001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203A5F"/>
                <w:sz w:val="19"/>
              </w:rPr>
              <w:t>版本/日期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333333"/>
                <w:sz w:val="19"/>
              </w:rPr>
              <w:t>V1.0 / 2026年7月</w:t>
            </w:r>
          </w:p>
        </w:tc>
      </w:tr>
    </w:tbl>
    <w:p>
      <w:pPr>
        <w:pStyle w:val="Callout"/>
        <w:shd w:fill="F4F7FB"/>
        <w:pBdr>
          <w:left w:val="single" w:sz="18" w:space="8" w:color="2E74B5"/>
        </w:pBdr>
        <w:ind w:left="160" w:right="10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适用说明：本文件为可落地的通用培训基线。若与公司现行制度、岗位说明书或经批准的流程冲突，以最新有效的正式文件为准。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培训定位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帮助新人理解组织文化与管理制度，掌握员工服务、招聘协同、行政运营和资料合规的基本方法。</w:t>
      </w:r>
    </w:p>
    <w:p>
      <w:pPr>
        <w:pStyle w:val="Heading2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结业能力目标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能准确解释公司文化、组织架构和常用人事行政制度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能独立完成入转调离、考勤、会议与物资等基础流程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能在授权范围内维护员工信息、合同与行政档案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能使用企业智慧助手检索制度并标注来源，不越权、不臆测</w:t>
      </w:r>
    </w:p>
    <w:p>
      <w:pPr>
        <w:spacing w:before="240" w:after="0" w:line="240" w:lineRule="auto"/>
      </w:pPr>
      <w:r>
        <w:rPr>
          <w:rFonts w:ascii="Calibri" w:hAnsi="Calibri" w:eastAsia="Microsoft YaHei"/>
          <w:b/>
          <w:i w:val="0"/>
          <w:color w:val="2E74B5"/>
          <w:sz w:val="20"/>
        </w:rPr>
        <w:t>建议培训周期：4周  |  建议导师：部门经理指定  |  结业标准：总评≥80分且无红线事件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一、培训实施安排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培训采用“制度学习—导师示范—场景练习—成果评审”的闭环方式。培训记录、作业和考核结果应留档，便于转正评估与后续能力提升。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900"/>
        <w:gridCol w:w="1550"/>
        <w:gridCol w:w="2800"/>
        <w:gridCol w:w="2800"/>
        <w:gridCol w:w="131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周期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主题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重点内容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阶段产出</w:t>
            </w:r>
          </w:p>
        </w:tc>
        <w:tc>
          <w:tcPr>
            <w:tcW w:type="dxa" w:w="1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责任人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第1周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文化与制度认知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企业文化、组织架构、员工手册、行为规范、信息安全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制度知识测验；完成组织与流程导图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导师/HRBP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第2周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人事服务流程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入职、转正、调岗、离职、考勤休假、福利与证明办理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模拟办理2个员工服务工单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HRBP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第3周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招聘与培训协同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需求确认、招聘流程、面试安排、培训组织、数据台账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编制岗位面试安排及新人培训通知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招聘/培训负责人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第4周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行政运营与综合实操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会议、采购、资产、印章、档案、供应商与应急管理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完成综合情景实操与答辩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部门经理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实施职责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部门经理：确认培训范围、指定导师、审批考核结果并处理培训例外。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导师：讲解制度与示范实操，每周至少一次反馈，确认作业真实性。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新人：按期完成学习、练习和复盘，遇到制度冲突或权限问题及时上报。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人力行政：保存培训与考核记录，并将结业结果纳入试用期跟踪。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二、培训内容</w:t>
      </w:r>
    </w:p>
    <w:p>
      <w:pPr>
        <w:pStyle w:val="Heading2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企业文化与组织认知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公司使命、愿景、价值观及行为案例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组织架构、汇报关系和跨部门协作边界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员工行为规范、职业礼仪与廉洁要求</w:t>
      </w:r>
    </w:p>
    <w:p>
      <w:pPr>
        <w:pStyle w:val="Heading2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员工全生命周期服务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入职资料核验、合同与档案归集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试用期跟进、转正与异动办理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离职交接、权限回收和证明开具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考勤、休假、福利与常见咨询处理</w:t>
      </w:r>
    </w:p>
    <w:p>
      <w:pPr>
        <w:pStyle w:val="Heading2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招聘与培训运营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招聘需求确认、职位发布、简历流转和面试安排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候选人隐私保护及招聘数据留痕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培训需求收集、签到、反馈和效果评估</w:t>
      </w:r>
    </w:p>
    <w:p>
      <w:pPr>
        <w:pStyle w:val="Heading2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行政事务与资产管理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会议室、接待、差旅、办公用品与资产台账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采购申请、供应商协同、印章和证照使用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行政档案归档、借阅与到期提醒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突发事件报告与办公场所安全</w:t>
      </w:r>
    </w:p>
    <w:p>
      <w:pPr>
        <w:pStyle w:val="Callout"/>
        <w:shd w:fill="F4F7FB"/>
        <w:pBdr>
          <w:left w:val="single" w:sz="18" w:space="8" w:color="2E74B5"/>
        </w:pBdr>
        <w:ind w:left="160" w:right="10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培训要求：所有流程学习必须对应到“有效制度名称、适用对象、审批角色、关键时限、留痕材料和异常升级路径”六项信息。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三、岗位实操任务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500"/>
        <w:gridCol w:w="3000"/>
        <w:gridCol w:w="2300"/>
        <w:gridCol w:w="25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任务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场景要求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提交成果</w:t>
            </w:r>
          </w:p>
        </w:tc>
        <w:tc>
          <w:tcPr>
            <w:tcW w:type="dxa" w:w="2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验收重点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000000"/>
                <w:sz w:val="17"/>
              </w:rPr>
              <w:t>员工入职办理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依据虚拟员工资料完成资料校验、入职清单、账号申请和首日安排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入职清单、缺失项说明、首日通知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流程完整；信息准确；不暴露敏感信息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000000"/>
                <w:sz w:val="17"/>
              </w:rPr>
              <w:t>考勤休假咨询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根据制度处理年假、病假和异常考勤组合案例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书面答复及制度依据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引用准确；口径一致；边界清楚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000000"/>
                <w:sz w:val="17"/>
              </w:rPr>
              <w:t>行政采购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完成办公用品采购申请和供应商比价记录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采购申请、比价表、验收要点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授权合规；记录可追溯；预算意识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000000"/>
                <w:sz w:val="17"/>
              </w:rPr>
              <w:t>AI制度问答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使用智慧助手查询新人政策并生成一周入职安排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提示词、来源清单、最终计划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仅使用有权资料；来源可核验；无幻觉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实操验收通用规则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成果必须由新人本人完成；使用AI辅助时，应保留关键提示词、引用来源和人工修订记录。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涉及真实人员、客户、账户、合同、代码或经营数据时，应使用经批准的系统和脱敏样例。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导师按“准确性、完整性、合规性、可执行性、可追溯性”五个维度评分。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四、考核要求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900"/>
        <w:gridCol w:w="3300"/>
        <w:gridCol w:w="900"/>
        <w:gridCol w:w="32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考核项目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考核范围</w:t>
            </w:r>
          </w:p>
        </w:tc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权重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达标要求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制度知识闭卷测验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文化、员工手册、考勤休假、行政制度与信息安全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25%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百分制不低于80分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流程实操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入职、异动、会议/采购/档案等场景随机抽取2项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35%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关键步骤无遗漏，实操不低于80分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综合作业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设计一份新员工首月融入与培训方案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25%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目标明确、安排可执行、引用制度准确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职业素养与答辩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服务意识、沟通、保密、复盘与答辩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15%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评价为合格及以上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结业判定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总评达到80分及以上，各单项达到表中最低要求，且必交成果齐全。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试用期内未发生本文件列明的红线事件或经认定的重大合规事故。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未通过者由部门经理制定补训计划，原则上10个工作日内完成一次补考；补考仍未通过的，按公司试用期管理制度处理。</w:t>
      </w:r>
    </w:p>
    <w:p>
      <w:pPr>
        <w:pStyle w:val="Heading2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红线事项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9B1C1C"/>
          <w:sz w:val="21"/>
        </w:rPr>
        <w:t>泄露员工身份证件、薪酬、健康等敏感信息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9B1C1C"/>
          <w:sz w:val="21"/>
        </w:rPr>
        <w:t>擅自承诺未获批准的福利、录用或制度例外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9B1C1C"/>
          <w:sz w:val="21"/>
        </w:rPr>
        <w:t>未经授权使用印章、证照或导出员工数据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五、AI智慧助手使用规范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本部门培训资料可作为RAG知识来源，但必须先配置正确的可见范围。智慧助手的回答是辅助信息，涉及审批、金额、合同、人员权益、生产变更或对外承诺时，必须回到有效制度并由责任人确认。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203A5F"/>
          <w:sz w:val="21"/>
        </w:rPr>
        <w:t>先鉴权再检索：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仅检索当前用户有权查看的公司级、部门级或个人授权资料，不得通过追问推测其他部门内容。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203A5F"/>
          <w:sz w:val="21"/>
        </w:rPr>
        <w:t>来源可追溯：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回答和生成成果应注明文件名称、版本/日期或相关章节；资料不足时明确提示，不得编造。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203A5F"/>
          <w:sz w:val="21"/>
        </w:rPr>
        <w:t>敏感数据最小化：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不得输入超出任务必要范围的个人信息、客户数据、财务数据、源代码、密钥或商业秘密。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203A5F"/>
          <w:sz w:val="21"/>
        </w:rPr>
        <w:t>人工复核：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AI生成的计划、话术、流程或代码必须由具备权限的员工核验后使用。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203A5F"/>
          <w:sz w:val="21"/>
        </w:rPr>
        <w:t>权限变更同步：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文档删除、过期或可见范围调整后，应同步更新索引，避免旧片段继续被检索。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六、培训记录与签字确认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建议保存：签到/学习记录、测验成绩、实操作业、评分表、补训与补考记录、导师反馈、结业审批。保存期限及访问权限按公司档案和个人信息保护制度执行。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2200"/>
        <w:gridCol w:w="7160"/>
      </w:tblGrid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203A5F"/>
                <w:sz w:val="19"/>
              </w:rPr>
              <w:t>新人姓名/工号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4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203A5F"/>
                <w:sz w:val="19"/>
              </w:rPr>
              <w:t>导师姓名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4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203A5F"/>
                <w:sz w:val="19"/>
              </w:rPr>
              <w:t>培训起止日期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4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203A5F"/>
                <w:sz w:val="19"/>
              </w:rPr>
              <w:t>结业结果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4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□通过   □补训/补考   □未通过</w:t>
            </w:r>
          </w:p>
        </w:tc>
      </w:tr>
    </w:tbl>
    <w:p>
      <w:pPr>
        <w:spacing w:before="24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新人签字：________________    导师签字：________________    部门经理：________________</w:t>
      </w:r>
    </w:p>
    <w:p>
      <w:r>
        <w:rPr>
          <w:rFonts w:ascii="Calibri" w:hAnsi="Calibri" w:eastAsia="Microsoft YaHei"/>
          <w:b w:val="0"/>
          <w:i w:val="0"/>
          <w:color w:val="666666"/>
          <w:sz w:val="19"/>
        </w:rPr>
        <w:t>日期：____年__月__日              日期：____年__月__日              日期：____年__月__日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Microsoft YaHei"/>
        <w:b w:val="0"/>
        <w:i w:val="0"/>
        <w:color w:val="666666"/>
        <w:sz w:val="17"/>
      </w:rPr>
      <w:t xml:space="preserve">HR-ONB-001  ·  第 </w:t>
    </w:r>
    <w:r>
      <w:rPr>
        <w:rFonts w:ascii="Calibri" w:hAnsi="Calibri" w:eastAsia="Microsoft YaHei"/>
        <w:b w:val="0"/>
        <w:i w:val="0"/>
        <w:color w:val="666666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666666"/>
        <w:sz w:val="17"/>
      </w:rPr>
      <w:t xml:space="preserve"> 页  ·  仅限授权范围内使用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 w:eastAsia="Microsoft YaHei"/>
        <w:b w:val="0"/>
        <w:i w:val="0"/>
        <w:color w:val="666666"/>
        <w:sz w:val="17"/>
      </w:rPr>
      <w:t>新人培训手册  |  人力行政部  |  内部资料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20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 w:line="240" w:lineRule="auto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60" w:line="288" w:lineRule="auto"/>
    </w:pPr>
    <w:rPr>
      <w:rFonts w:ascii="Calibri" w:hAnsi="Calibri" w:eastAsia="Microsoft YaHei"/>
      <w:b/>
      <w:color w:val="203A5F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人力行政部新人培训内容与考核要求</dc:title>
  <dc:subject>新人培训与考核</dc:subject>
  <dc:creator>企业培训管理</dc:creator>
  <cp:keywords>新人培训,考核要求,RAG,AI智慧助手,权限隔离</cp:keywords>
  <dc:description>通用示范版；正式执行前请结合公司制度审定。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