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60"/>
      </w:pPr>
      <w:r>
        <w:rPr>
          <w:rFonts w:ascii="Noto Sans" w:hAnsi="Noto Sans" w:eastAsia="Noto Sans SC Thin"/>
          <w:b/>
          <w:color w:val="1F6D7A"/>
          <w:sz w:val="22"/>
        </w:rPr>
        <w:t>RAG 企业知识库  ·  企业文化</w:t>
      </w:r>
    </w:p>
    <w:p>
      <w:pPr>
        <w:spacing w:before="160" w:after="200"/>
      </w:pPr>
      <w:r>
        <w:rPr>
          <w:rFonts w:ascii="Noto Sans" w:hAnsi="Noto Sans" w:eastAsia="Noto Sans SC Thin"/>
          <w:b/>
          <w:color w:val="17365D"/>
          <w:sz w:val="54"/>
        </w:rPr>
        <w:t>企业文化与员工行为准则</w:t>
      </w:r>
    </w:p>
    <w:p>
      <w:pPr>
        <w:spacing w:after="360"/>
      </w:pPr>
      <w:r>
        <w:rPr>
          <w:rFonts w:ascii="Noto Sans" w:hAnsi="Noto Sans" w:eastAsia="Noto Sans SC Thin"/>
          <w:color w:val="667085"/>
          <w:sz w:val="22"/>
        </w:rPr>
        <w:t>说明企业使命、价值观、职业行为、协作方式和客户服务标准，供全体员工统一理解与执行。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2500"/>
        <w:gridCol w:w="6911"/>
      </w:tblGrid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知识标题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企业文化与员工行为准则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category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企业文化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description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说明企业使命、价值观、职业行为、协作方式和客户服务标准，供全体员工统一理解与执行。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适用对象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全体员工、实习生及经批准的长期协作人员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责任部门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access_scope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ALL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access_department_id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不适用（数据库中应为NULL）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min_role_level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1（普通员工及以上）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status / version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ENABLED / V1.0</w:t>
            </w:r>
          </w:p>
        </w:tc>
      </w:tr>
      <w:tr>
        <w:tc>
          <w:tcPr>
            <w:tcW w:type="dxa" w:w="2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编制日期</w:t>
            </w:r>
          </w:p>
        </w:tc>
        <w:tc>
          <w:tcPr>
            <w:tcW w:type="dxa" w:w="69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2026年7月21日</w:t>
            </w:r>
          </w:p>
        </w:tc>
      </w:tr>
    </w:tbl>
    <w:p>
      <w:pPr>
        <w:spacing w:before="280" w:after="80"/>
      </w:pPr>
      <w:r>
        <w:rPr>
          <w:rFonts w:ascii="Noto Sans" w:hAnsi="Noto Sans" w:eastAsia="Noto Sans SC Thin"/>
          <w:b/>
          <w:color w:val="2E74B5"/>
          <w:sz w:val="23"/>
        </w:rPr>
        <w:t>使用提示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4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本文件是面向智办AI OA演示环境的企业知识示例，可用于Word上传、全文解析、按标题分片和向量检索。正式发布前应由责任部门审核公司名称、金额标准、部门编号、审批节点和地域性规则；系统生成的文件路径、大小、哈希、解析状态和索引状态不写入正文。</w:t>
            </w:r>
          </w:p>
        </w:tc>
      </w:tr>
    </w:tbl>
    <w:p>
      <w:r>
        <w:br w:type="page"/>
      </w:r>
    </w:p>
    <w:p>
      <w:pPr>
        <w:pStyle w:val="Heading1"/>
      </w:pPr>
      <w:r>
        <w:t>文档目的与适用边界</w:t>
      </w:r>
    </w:p>
    <w:p>
      <w:pPr>
        <w:jc w:val="both"/>
      </w:pPr>
      <w:r>
        <w:t>本文件将抽象的文化口号转化为可观察、可执行、可检索的日常行为标准。它不替代劳动合同、岗位说明书或专项制度；当文化倡议与正式制度不一致时，以已生效制度为准。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4F6F9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检索边界：本知识文档只回答通用制度和操作原则，不存放账号口令、密钥、银行账号、未公开个人信息、客户商业秘密或具体案件材料。遇到审批冲突时，以OA中已生效的制度版本和授权记录为准。</w:t>
            </w:r>
          </w:p>
        </w:tc>
      </w:tr>
    </w:tbl>
    <w:p>
      <w:pPr>
        <w:pStyle w:val="Heading1"/>
      </w:pPr>
      <w:r>
        <w:t>知识目录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企业定位与共同目标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价值观对应的行为标准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协作与沟通规范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客户与合作伙伴关系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成长、认可与文化维护</w:t>
      </w:r>
    </w:p>
    <w:p>
      <w:pPr>
        <w:pStyle w:val="Heading1"/>
      </w:pPr>
      <w:r>
        <w:t>企业定位与共同目标</w:t>
      </w:r>
    </w:p>
    <w:p>
      <w:pPr>
        <w:jc w:val="both"/>
      </w:pPr>
      <w:r>
        <w:t>智办科技有限公司是服务企业数字化办公的示例组织，围绕协同办公、知识管理和智能问答提升组织效率。企业文化强调长期价值、可信交付与员工成长。</w:t>
      </w:r>
    </w:p>
    <w:p>
      <w:pPr>
        <w:pStyle w:val="Heading2"/>
      </w:pPr>
      <w:r>
        <w:t>使命</w:t>
      </w:r>
    </w:p>
    <w:p>
      <w:pPr>
        <w:jc w:val="both"/>
      </w:pPr>
      <w:r>
        <w:t>让信息、流程与知识在组织内安全、准确、高效地流动，让员工减少重复沟通，把时间投入到更有价值的工作。</w:t>
      </w:r>
    </w:p>
    <w:p>
      <w:pPr>
        <w:pStyle w:val="Heading2"/>
      </w:pPr>
      <w:r>
        <w:t>愿景</w:t>
      </w:r>
    </w:p>
    <w:p>
      <w:pPr>
        <w:jc w:val="both"/>
      </w:pPr>
      <w:r>
        <w:t>成为值得客户信赖的智能办公解决方案团队，以可持续的产品能力和专业服务支持企业数字化转型。</w:t>
      </w:r>
    </w:p>
    <w:p>
      <w:pPr>
        <w:pStyle w:val="Heading2"/>
      </w:pPr>
      <w:r>
        <w:t>核心价值观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客户价值：先理解真实业务问题，再选择合适的技术和交付方式，不用功能堆砌代替问题解决。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诚信负责：真实报告进度、质量、成本和风险；出现问题先止损、再复盘，不隐瞒、不甩锅。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协同透明：重要决定、接口和交付标准可追溯，跨部门沟通给出背景、结论、责任人与时间点。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专业精进：尊重事实和数据，保持学习，使用评审、测试和复盘提高专业判断。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安全合规：以最小权限处理数据，尊重隐私、知识产权和商业秘密，任何效率提升都不得突破安全底线。</w:t>
      </w:r>
    </w:p>
    <w:p>
      <w:pPr>
        <w:pStyle w:val="Heading1"/>
      </w:pPr>
      <w:r>
        <w:t>价值观对应的行为标准</w:t>
      </w:r>
    </w:p>
    <w:p>
      <w:pPr>
        <w:jc w:val="both"/>
      </w:pPr>
      <w:r>
        <w:t>价值观只有体现在具体选择中才有意义。以下标准用于招聘、试用期反馈、绩效沟通和日常协作。</w:t>
      </w:r>
    </w:p>
    <w:p>
      <w:pPr>
        <w:pStyle w:val="Heading2"/>
      </w:pPr>
      <w:r>
        <w:t>值得鼓励的行为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对模糊需求主动追问业务目标、使用场景、验收口径和截止时间，并形成书面确认。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发现计划可能延期时尽早预警，说明影响、原因、可选方案和需要的决策支持。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在评审中针对事实、方案和风险提出意见，不将问题人格化，也不因职级差异回避专业判断。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完成任务后沉淀可复用文档、模板、脚本或知识条目，减少同类问题重复发生。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接触客户数据、财务信息或员工信息时，只查看完成工作所必需的范围，并按要求留痕。</w:t>
      </w:r>
    </w:p>
    <w:p>
      <w:pPr>
        <w:pStyle w:val="Heading2"/>
      </w:pPr>
      <w:r>
        <w:t>明确禁止的行为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伪造数据、隐瞒重大缺陷、篡改审批记录或以口头承诺绕过正式授权。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擅自对外披露源代码、客户名单、合同价格、员工个人信息或未发布经营信息。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利用职务便利收受不当利益，或在存在利益冲突时不申报仍参与采购、验收或付款决定。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以侮辱、歧视、骚扰、威胁等方式对待同事、客户或合作伙伴。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将公司账号、设备、数据或AI工具用于违法、侵权、欺诈或明显偏离工作目的的活动。</w:t>
      </w:r>
    </w:p>
    <w:p>
      <w:pPr>
        <w:pStyle w:val="Heading1"/>
      </w:pPr>
      <w:r>
        <w:t>协作与沟通规范</w:t>
      </w:r>
    </w:p>
    <w:p>
      <w:pPr>
        <w:jc w:val="both"/>
      </w:pPr>
      <w:r>
        <w:t>高效沟通的目标不是增加消息数量，而是减少理解偏差、等待时间和重复决策。</w:t>
      </w:r>
    </w:p>
    <w:p>
      <w:pPr>
        <w:pStyle w:val="Heading2"/>
      </w:pPr>
      <w:r>
        <w:t>任务沟通的六项信息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背景：为什么要做，当前问题是什么。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目标：期望产生什么业务结果。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范围：包含与不包含哪些事项。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交付物：文档、代码、页面、数据或审批结果的具体形式。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责任与时间：负责人、协作人、检查点和截止时间。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验收：可验证的完成标准以及谁最终确认。</w:t>
      </w:r>
    </w:p>
    <w:p>
      <w:pPr>
        <w:pStyle w:val="Heading2"/>
      </w:pPr>
      <w:r>
        <w:t>会议原则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能通过短消息或文档异步解决的问题，不必召开会议。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会议邀请应写明议题、输入材料、参会角色和期望决策；无明确目的的会议可请求补充信息。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主持人控制议题和时间；会议结束形成结论、待办、责任人、截止日期及未决风险。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涉及重大范围、预算、合同或上线风险的决策，应在OA或项目文档中留存，不以聊天记录作为唯一依据。</w:t>
      </w:r>
    </w:p>
    <w:p>
      <w:pPr>
        <w:pStyle w:val="Heading2"/>
      </w:pPr>
      <w:r>
        <w:t>反馈与分歧处理</w:t>
      </w:r>
    </w:p>
    <w:p>
      <w:pPr>
        <w:jc w:val="both"/>
      </w:pPr>
      <w:r>
        <w:t>反馈应具体描述事实、影响和建议，不贴标签。出现分歧时，先统一目标与约束，再比较证据和方案；在职责边界内由负责人决定，在高风险或跨部门事项上按管理链路升级。</w:t>
      </w:r>
    </w:p>
    <w:p>
      <w:pPr>
        <w:pStyle w:val="Heading1"/>
      </w:pPr>
      <w:r>
        <w:t>客户与合作伙伴关系</w:t>
      </w:r>
    </w:p>
    <w:p>
      <w:pPr>
        <w:jc w:val="both"/>
      </w:pPr>
      <w:r>
        <w:t>所有对外接触都代表企业信誉。员工应在授权范围内作出承诺，并保护双方合法权益。</w:t>
      </w:r>
    </w:p>
    <w:p>
      <w:pPr>
        <w:pStyle w:val="Heading2"/>
      </w:pPr>
      <w:r>
        <w:t>客户服务标准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先确认问题是否已被准确理解，再给出处理计划；不确定时明确说明需要核实。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对故障、延期或误解保持透明，提供临时措施、预计恢复时间和后续复盘安排。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不得承诺未评估的功能、价格、交期或责任；超出权限的事项及时转交授权人员。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客户反馈进入可追踪渠道，涉及缺陷、安全或合规风险时提高优先级。</w:t>
      </w:r>
    </w:p>
    <w:p>
      <w:pPr>
        <w:pStyle w:val="Heading2"/>
      </w:pPr>
      <w:r>
        <w:t>廉洁与利益冲突</w:t>
      </w:r>
    </w:p>
    <w:p>
      <w:pPr>
        <w:jc w:val="both"/>
      </w:pPr>
      <w:r>
        <w:t>员工本人或近亲属与供应商、客户、候选人存在投资、任职、亲属或其他可能影响公正判断的关系时，应主动向直属负责人和行政人事部申报，并回避相关选择、议价、验收和付款。正常商务礼仪应遵守公司标准，现金、等价物和可能影响决策的高价值馈赠不得收受。</w:t>
      </w:r>
    </w:p>
    <w:p>
      <w:pPr>
        <w:pStyle w:val="Heading1"/>
      </w:pPr>
      <w:r>
        <w:t>成长、认可与文化维护</w:t>
      </w:r>
    </w:p>
    <w:p>
      <w:pPr>
        <w:jc w:val="both"/>
      </w:pPr>
      <w:r>
        <w:t>文化由日常机制维护，而不是由一次宣传活动完成。管理者对团队氛围和行为示范负有更高责任。</w:t>
      </w:r>
    </w:p>
    <w:p>
      <w:pPr>
        <w:pStyle w:val="Heading2"/>
      </w:pPr>
      <w:r>
        <w:t>学习与知识共享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员工根据岗位目标制定季度学习计划，将学习结果转化为实践改进或内部分享。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复盘聚焦流程、条件和决策信息，区分可避免问题与合理试错，形成下一次可执行的改进项。</w:t>
      </w:r>
    </w:p>
    <w:p>
      <w:pPr>
        <w:pStyle w:val="ListBullet"/>
        <w:numPr>
          <w:ilvl w:val="0"/>
          <w:numId w:val="41"/>
        </w:numPr>
      </w:pPr>
      <w:r>
        <w:rPr>
          <w:rFonts w:ascii="Noto Sans" w:hAnsi="Noto Sans" w:eastAsia="Noto Sans SC Thin"/>
          <w:color w:val="25354A"/>
          <w:sz w:val="21"/>
        </w:rPr>
        <w:t>知识文档应有责任人、版本和适用范围；过期资料及时更新、禁用或归档。</w:t>
      </w:r>
    </w:p>
    <w:p>
      <w:pPr>
        <w:pStyle w:val="Heading2"/>
      </w:pPr>
      <w:r>
        <w:t>认可与纠偏</w:t>
      </w:r>
    </w:p>
    <w:p>
      <w:pPr>
        <w:jc w:val="both"/>
      </w:pPr>
      <w:r>
        <w:t>对创造客户价值、主动协作、改进质量和守护安全底线的行为及时认可。对违反行为准则的事项，根据事实、影响、主观状态和整改情况进行调查与处理，保障当事人陈述和申诉渠道，禁止打击报复善意举报人。</w:t>
      </w:r>
    </w:p>
    <w:p>
      <w:pPr>
        <w:pStyle w:val="Heading1"/>
      </w:pPr>
      <w:r>
        <w:t>常见问题</w:t>
      </w:r>
    </w:p>
    <w:p>
      <w:pPr>
        <w:pStyle w:val="Heading2"/>
      </w:pPr>
      <w:r>
        <w:t>问：发现同事隐瞒风险，应该怎么做？</w:t>
      </w:r>
    </w:p>
    <w:p>
      <w:pPr>
        <w:jc w:val="both"/>
      </w:pPr>
      <w:r>
        <w:t>答：先保留事实并提醒相关责任人补充说明；若可能影响客户、资金、数据安全或合规，应立即向直属负责人或相应职能部门升级。不得为了维持表面进度而共同隐瞒。</w:t>
      </w:r>
    </w:p>
    <w:p>
      <w:pPr>
        <w:pStyle w:val="Heading2"/>
      </w:pPr>
      <w:r>
        <w:t>问：可以在外部社交媒体讨论公司项目吗？</w:t>
      </w:r>
    </w:p>
    <w:p>
      <w:pPr>
        <w:jc w:val="both"/>
      </w:pPr>
      <w:r>
        <w:t>答：只能分享已正式公开且不含客户、代码、价格、人员和未发布计划的信息。无法判断时，先向品牌、法务或项目负责人确认。</w:t>
      </w:r>
    </w:p>
    <w:p>
      <w:pPr>
        <w:pStyle w:val="Heading2"/>
      </w:pPr>
      <w:r>
        <w:t>问：对管理者的决定有专业异议怎么办？</w:t>
      </w:r>
    </w:p>
    <w:p>
      <w:pPr>
        <w:jc w:val="both"/>
      </w:pPr>
      <w:r>
        <w:t>答：用事实、数据和替代方案提出异议，并说明风险。完成充分讨论后，在不违法违规且职责清晰的前提下执行最终决定；重大风险应留痕并按机制升级。</w:t>
      </w:r>
    </w:p>
    <w:p>
      <w:pPr>
        <w:pStyle w:val="Heading2"/>
      </w:pPr>
      <w:r>
        <w:t>问：文化准则能否直接作为处罚依据？</w:t>
      </w:r>
    </w:p>
    <w:p>
      <w:pPr>
        <w:jc w:val="both"/>
      </w:pPr>
      <w:r>
        <w:t>答：不能单独替代依法制定并公示的规章制度。具体处理应依据劳动合同、员工手册、专项制度和调查结果执行。</w:t>
      </w:r>
    </w:p>
    <w:p>
      <w:pPr>
        <w:pStyle w:val="Heading1"/>
      </w:pPr>
      <w:r>
        <w:t>检索关键词</w:t>
      </w:r>
    </w:p>
    <w:p>
      <w:pPr>
        <w:spacing w:after="160"/>
      </w:pPr>
      <w:r>
        <w:t>使命、愿景、价值观、员工行为、客户服务、协作、会议、反馈、利益冲突、廉洁、知识共享、举报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9411"/>
      </w:tblGrid>
      <w:tr>
        <w:tc>
          <w:tcPr>
            <w:tcW w:type="dxa" w:w="94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40" w:after="40" w:line="288" w:lineRule="auto"/>
            </w:pPr>
            <w:r>
              <w:rPr>
                <w:rFonts w:ascii="Noto Sans" w:hAnsi="Noto Sans" w:eastAsia="Noto Sans SC Thin"/>
                <w:color w:val="25354A"/>
                <w:sz w:val="19"/>
              </w:rPr>
              <w:t>建议分片：优先按“一级标题 → 二级标题”切分；单个主题过长时再按自然段切分，并在metadata_json中保留category、section_title、access_scope、min_role_level、version与关键词。</w:t>
            </w:r>
          </w:p>
        </w:tc>
      </w:tr>
    </w:tbl>
    <w:p>
      <w:pPr>
        <w:pStyle w:val="Heading1"/>
      </w:pPr>
      <w:r>
        <w:t>版本与维护</w:t>
      </w:r>
    </w:p>
    <w:tbl>
      <w:tblPr>
        <w:tblW w:type="dxa" w:w="9411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5DDE5"/>
          <w:left w:val="single" w:sz="6" w:space="0" w:color="D5DDE5"/>
          <w:bottom w:val="single" w:sz="6" w:space="0" w:color="D5DDE5"/>
          <w:right w:val="single" w:sz="6" w:space="0" w:color="D5DDE5"/>
          <w:insideH w:val="single" w:sz="6" w:space="0" w:color="D5DDE5"/>
          <w:insideV w:val="single" w:sz="6" w:space="0" w:color="D5DDE5"/>
        </w:tblBorders>
      </w:tblPr>
      <w:tblGrid>
        <w:gridCol w:w="1600"/>
        <w:gridCol w:w="2400"/>
        <w:gridCol w:w="2700"/>
        <w:gridCol w:w="2711"/>
      </w:tblGrid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版本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日期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维护部门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/>
                <w:color w:val="17365D"/>
                <w:sz w:val="18"/>
              </w:rPr>
              <w:t>说明</w:t>
            </w:r>
          </w:p>
        </w:tc>
      </w:tr>
      <w:tr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V1.0</w:t>
            </w:r>
          </w:p>
        </w:tc>
        <w:tc>
          <w:tcPr>
            <w:tcW w:type="dxa" w:w="24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2026-07-21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行政人事部</w:t>
            </w:r>
          </w:p>
        </w:tc>
        <w:tc>
          <w:tcPr>
            <w:tcW w:type="dxa" w:w="2711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</w:tcPr>
          <w:p>
            <w:pPr>
              <w:spacing w:before="0" w:after="0" w:line="276" w:lineRule="auto"/>
              <w:jc w:val="left"/>
            </w:pPr>
            <w:r>
              <w:rPr>
                <w:rFonts w:ascii="Noto Sans" w:hAnsi="Noto Sans" w:eastAsia="Noto Sans SC Thin"/>
                <w:b w:val="0"/>
                <w:color w:val="25354A"/>
                <w:sz w:val="18"/>
              </w:rPr>
              <w:t>根据RAG知识来源表结构生成示例初版，待企业审核后生效。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134" w:left="124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dxa" w:w="9411"/>
      <w:jc w:val="left"/>
      <w:tblLayout w:type="fixed"/>
      <w:tblLook w:firstColumn="1" w:firstRow="1" w:lastColumn="0" w:lastRow="0" w:noHBand="0" w:noVBand="1" w:val="04A0"/>
      <w:tblInd w:w="120" w:type="dxa"/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</w:tblPr>
    <w:tblGrid>
      <w:gridCol w:w="6500"/>
      <w:gridCol w:w="2911"/>
    </w:tblGrid>
    <w:tr>
      <w:tc>
        <w:tcPr>
          <w:tcW w:type="dxa" w:w="6500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r>
            <w:rPr>
              <w:rFonts w:ascii="Noto Sans" w:hAnsi="Noto Sans" w:eastAsia="Noto Sans SC Thin"/>
              <w:color w:val="667085"/>
              <w:sz w:val="16"/>
            </w:rPr>
            <w:t>内部知识资料 · 示例版</w:t>
          </w:r>
        </w:p>
      </w:tc>
      <w:tc>
        <w:tcPr>
          <w:tcW w:type="dxa" w:w="2911"/>
          <w:tcMar>
            <w:top w:w="90" w:type="dxa"/>
            <w:start w:w="120" w:type="dxa"/>
            <w:bottom w:w="90" w:type="dxa"/>
            <w:end w:w="120" w:type="dxa"/>
          </w:tcMar>
          <w:vAlign w:val="center"/>
        </w:tcPr>
        <w:p>
          <w:pPr>
            <w:jc w:val="right"/>
          </w:pPr>
          <w:r>
            <w:rPr>
              <w:rFonts w:ascii="Noto Sans" w:hAnsi="Noto Sans" w:eastAsia="Noto Sans SC Thin"/>
              <w:color w:val="667085"/>
              <w:sz w:val="16"/>
            </w:rPr>
            <w:t xml:space="preserve">第 </w:t>
          </w:r>
          <w:r>
            <w:rPr>
              <w:rFonts w:ascii="Noto Sans" w:hAnsi="Noto Sans" w:eastAsia="Noto Sans SC Thin"/>
              <w:color w:val="667085"/>
              <w:sz w:val="17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  <w:r>
            <w:rPr>
              <w:rFonts w:ascii="Noto Sans" w:hAnsi="Noto Sans" w:eastAsia="Noto Sans SC Thin"/>
              <w:color w:val="667085"/>
              <w:sz w:val="16"/>
            </w:rPr>
            <w:t xml:space="preserve"> 页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80"/>
      <w:jc w:val="right"/>
      <w:pBdr>
        <w:bottom w:val="single" w:sz="6" w:space="5" w:color="D5DDE5"/>
      </w:pBdr>
    </w:pPr>
    <w:r>
      <w:rPr>
        <w:rFonts w:ascii="Noto Sans" w:hAnsi="Noto Sans" w:eastAsia="Noto Sans SC Thin"/>
        <w:b/>
        <w:color w:val="667085"/>
        <w:sz w:val="17"/>
      </w:rPr>
      <w:t>智办企业知识库  /  企业文化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4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1">
    <w:abstractNumId w:val="41"/>
  </w:num>
  <w:abstractNum w:abstractNumId="4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  <w:rPr>
        <w:rFonts w:ascii="Noto Sans" w:hAnsi="Noto Sans" w:eastAsia="Noto Sans SC Thin"/>
      </w:rPr>
    </w:lvl>
  </w:abstractNum>
  <w:num w:numId="42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300" w:lineRule="auto"/>
    </w:pPr>
    <w:rPr>
      <w:rFonts w:ascii="Noto Sans" w:hAnsi="Noto Sans" w:eastAsia="Noto Sans SC Thi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Noto Sans" w:hAnsi="Noto Sans" w:eastAsia="Noto Sans SC Thin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Noto Sans" w:hAnsi="Noto Sans" w:eastAsia="Noto Sans SC Thin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Noto Sans" w:hAnsi="Noto Sans" w:eastAsia="Noto Sans SC Thin"/>
      <w:b/>
      <w:bCs/>
      <w:color w:val="1F6D7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300" w:lineRule="auto"/>
      <w:contextualSpacing/>
    </w:pPr>
    <w:rPr>
      <w:rFonts w:ascii="Noto Sans" w:hAnsi="Noto Sans" w:eastAsia="Noto Sans SC Thin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企业文化与员工行为准则</dc:title>
  <dc:subject>RAG企业知识库 · 企业文化</dc:subject>
  <dc:creator>智办科技有限公司</dc:creator>
  <cp:keywords>RAG, 企业知识, 企业文化, 智办AI OA</cp:keywords>
  <dc:description>根据更新.sql中的oa_ai_source与oa_ai_source_chunk结构生成的示例知识文档。</dc:description>
  <cp:lastModifiedBy/>
  <cp:revision>1</cp:revision>
  <dcterms:created xsi:type="dcterms:W3CDTF">2013-12-23T23:15:00Z</dcterms:created>
  <dcterms:modified xsi:type="dcterms:W3CDTF">2013-12-23T23:15:00Z</dcterms:modified>
  <cp:category>企业文化</cp:category>
</cp:coreProperties>
</file>