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NEW EMPLOYEE ENABLEMENT</w:t>
      </w:r>
    </w:p>
    <w:p>
      <w:pPr>
        <w:pStyle w:val="Title"/>
        <w:jc w:val="left"/>
      </w:pPr>
      <w:r>
        <w:rPr>
          <w:rFonts w:ascii="Calibri" w:hAnsi="Calibri" w:eastAsia="Microsoft YaHei"/>
          <w:b/>
          <w:i w:val="0"/>
          <w:color w:val="203A5F"/>
          <w:sz w:val="56"/>
        </w:rPr>
        <w:t>财务部</w:t>
        <w:br/>
        <w:t>新人培训内容与考核要求</w:t>
      </w:r>
    </w:p>
    <w:p>
      <w:pPr>
        <w:pStyle w:val="Subtitle"/>
      </w:pPr>
      <w:r>
        <w:rPr>
          <w:rFonts w:ascii="Calibri" w:hAnsi="Calibri" w:eastAsia="Microsoft YaHei"/>
          <w:b w:val="0"/>
          <w:i w:val="0"/>
          <w:color w:val="666666"/>
          <w:sz w:val="26"/>
        </w:rPr>
        <w:t>通用示范版 · 适用于入职后首个培训周期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AD3DD"/>
          <w:left w:val="single" w:sz="5" w:color="CAD3DD"/>
          <w:bottom w:val="single" w:sz="5" w:color="CAD3DD"/>
          <w:right w:val="single" w:sz="5" w:color="CAD3DD"/>
          <w:insideH w:val="single" w:sz="5" w:color="CAD3DD"/>
          <w:insideV w:val="single" w:sz="5" w:color="CAD3DD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文件编号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FIN-ONB-001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版本/日期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333333"/>
                <w:sz w:val="19"/>
              </w:rPr>
              <w:t>V1.0 / 2026年7月</w:t>
            </w:r>
          </w:p>
        </w:tc>
      </w:tr>
    </w:tbl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适用说明：本文件为可落地的通用培训基线。若与公司现行制度、岗位说明书或经批准的流程冲突，以最新有效的正式文件为准。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培训定位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帮助新人建立合规、准确、及时、可追溯的财务工作意识，掌握报销、核算、预算和内部控制的基础流程。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结业能力目标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能识别常见原始凭证及报销、付款、开票流程的控制点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能按岗位授权完成基础核算、对账与财务档案整理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能发现金额、税务、审批链和重复报销等常见风险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能安全使用智慧助手查询制度，避免上传未脱敏财务数据</w:t>
      </w:r>
    </w:p>
    <w:p>
      <w:pPr>
        <w:spacing w:before="240" w:after="0" w:line="240" w:lineRule="auto"/>
      </w:pPr>
      <w:r>
        <w:rPr>
          <w:rFonts w:ascii="Calibri" w:hAnsi="Calibri" w:eastAsia="Microsoft YaHei"/>
          <w:b/>
          <w:i w:val="0"/>
          <w:color w:val="2E74B5"/>
          <w:sz w:val="20"/>
        </w:rPr>
        <w:t>建议培训周期：4周  |  建议导师：部门经理指定  |  结业标准：总评≥80分且无红线事件</w:t>
      </w:r>
    </w:p>
    <w:p>
      <w:r>
        <w:rPr>
          <w:rFonts w:ascii="Calibri" w:hAnsi="Calibri" w:eastAsia="Microsoft YaHei"/>
          <w:b w:val="0"/>
          <w:i w:val="0"/>
          <w:color w:val="000000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一、培训实施安排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培训采用“制度学习—导师示范—场景练习—成果评审”的闭环方式。培训记录、作业和考核结果应留档，便于转正评估与后续能力提升。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900"/>
        <w:gridCol w:w="1550"/>
        <w:gridCol w:w="2800"/>
        <w:gridCol w:w="2800"/>
        <w:gridCol w:w="13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周期</w:t>
            </w:r>
          </w:p>
        </w:tc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主题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重点内容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阶段产出</w:t>
            </w:r>
          </w:p>
        </w:tc>
        <w:tc>
          <w:tcPr>
            <w:tcW w:type="dxa" w:w="1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责任人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第1周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制度与合规基础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财务组织、会计基础、费用制度、审批权限、职业道德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知识测验；绘制付款审批链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财务主管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第2周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费用与资金流程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报销、付款、借款、发票、银行与现金管理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完成报销单审核及付款材料校验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费用/资金会计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第3周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核算与对账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科目、凭证、应收应付、月结、往来与资产对账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完成模拟凭证和差异调节表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总账会计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第4周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预算与综合实操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预算控制、管理报表、档案、风险识别和AI辅助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综合案例、风险答辩</w:t>
            </w:r>
          </w:p>
        </w:tc>
        <w:tc>
          <w:tcPr>
            <w:tcW w:type="dxa" w:w="1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部门经理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实施职责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部门经理：确认培训范围、指定导师、审批考核结果并处理培训例外。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导师：讲解制度与示范实操，每周至少一次反馈，确认作业真实性。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新人：按期完成学习、练习和复盘，遇到制度冲突或权限问题及时上报。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人力行政：保存培训与考核记录，并将结业结果纳入试用期跟踪。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二、培训内容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财务制度与职业规范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岗位职责、不相容岗位和授权审批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真实性、完整性、及时性和可追溯性要求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廉洁从业、利益冲突、财务数据保密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费用、付款与发票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差旅和日常费用标准、单据要件及审批路径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采购付款、合同、验收与发票的匹配关系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发票基础查验、红冲及异常情形上报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借款、备用金和逾期清理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会计核算与月结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会计科目、摘要、辅助核算和凭证附件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应收应付、银行、往来和固定资产对账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月结节点、关账检查与差异说明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预算、报表与档案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预算申请、占用、调整和超预算处理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基础管理报表及数据口径一致性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会计档案归档、借阅、保管和销毁审批</w:t>
      </w:r>
    </w:p>
    <w:p>
      <w:pPr>
        <w:pStyle w:val="Callout"/>
        <w:shd w:fill="F4F7FB"/>
        <w:pBdr>
          <w:left w:val="single" w:sz="18" w:space="8" w:color="2E74B5"/>
        </w:pBdr>
        <w:ind w:left="160" w:right="10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培训要求：所有流程学习必须对应到“有效制度名称、适用对象、审批角色、关键时限、留痕材料和异常升级路径”六项信息。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三、岗位实操任务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500"/>
        <w:gridCol w:w="3000"/>
        <w:gridCol w:w="2300"/>
        <w:gridCol w:w="2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任务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场景要求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提交成果</w:t>
            </w:r>
          </w:p>
        </w:tc>
        <w:tc>
          <w:tcPr>
            <w:tcW w:type="dxa" w:w="2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验收重点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费用审核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审核一组含差旅、招待和办公费的模拟单据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审核意见、退回原因和制度依据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金额正确；附件齐全；审批合规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付款校验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核对合同、验收、发票、收款账户和付款审批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付款检查清单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五要素匹配；异常能升级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对账与调节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根据银行流水和账面记录定位差异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银行余额调节表及说明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差异定位准确；处理建议合理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000000"/>
                <w:sz w:val="17"/>
              </w:rPr>
              <w:t>AI财务制度检索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查询报销规则并生成员工操作指南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问题记录、来源、指南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000000"/>
                <w:sz w:val="17"/>
              </w:rPr>
              <w:t>不上传真实敏感数据；引用可追溯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实操验收通用规则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成果必须由新人本人完成；使用AI辅助时，应保留关键提示词、引用来源和人工修订记录。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涉及真实人员、客户、账户、合同、代码或经营数据时，应使用经批准的系统和脱敏样例。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导师按“准确性、完整性、合规性、可执行性、可追溯性”五个维度评分。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四、考核要求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00"/>
        <w:gridCol w:w="3300"/>
        <w:gridCol w:w="900"/>
        <w:gridCol w:w="3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考核项目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考核范围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权重</w:t>
            </w:r>
          </w:p>
        </w:tc>
        <w:tc>
          <w:tcPr>
            <w:tcW w:type="dxa" w:w="3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03A5F"/>
                <w:sz w:val="18"/>
              </w:rPr>
              <w:t>达标要求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制度与会计基础测验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费用制度、审批权限、核算基础、档案与安全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百分制不低于85分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单据审核与核算实操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报销审核、付款校验、凭证与对账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40%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金额与关键控制点零重大错误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风险案例分析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识别重复报销、账户异常、审批缺失等风险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风险识别率不低于80%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职业素养与答辩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严谨性、时效、沟通、保密和复盘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评价为合格及以上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结业判定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总评达到80分及以上，各单项达到表中最低要求，且必交成果齐全。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试用期内未发生本文件列明的红线事件或经认定的重大合规事故。</w:t>
      </w:r>
    </w:p>
    <w:p>
      <w:pPr>
        <w:pStyle w:val="ListNumber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未通过者由部门经理制定补训计划，原则上10个工作日内完成一次补考；补考仍未通过的，按公司试用期管理制度处理。</w:t>
      </w:r>
    </w:p>
    <w:p>
      <w:pPr>
        <w:pStyle w:val="Heading2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红线事项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伪造、篡改、隐匿凭证或财务记录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绕过审批、拆分付款或向异常账户付款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9B1C1C"/>
          <w:sz w:val="21"/>
        </w:rPr>
        <w:t>将未脱敏工资、账户、税务或经营数据输入外部AI服务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五、AI智慧助手使用规范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本部门培训资料可作为RAG知识来源，但必须先配置正确的可见范围。智慧助手的回答是辅助信息，涉及审批、金额、合同、人员权益、生产变更或对外承诺时，必须回到有效制度并由责任人确认。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先鉴权再检索：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仅检索当前用户有权查看的公司级、部门级或个人授权资料，不得通过追问推测其他部门内容。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来源可追溯：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回答和生成成果应注明文件名称、版本/日期或相关章节；资料不足时明确提示，不得编造。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敏感数据最小化：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不得输入超出任务必要范围的个人信息、客户数据、财务数据、源代码、密钥或商业秘密。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人工复核：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AI生成的计划、话术、流程或代码必须由具备权限的员工核验后使用。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203A5F"/>
          <w:sz w:val="21"/>
        </w:rPr>
        <w:t>权限变更同步：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文档删除、过期或可见范围调整后，应同步更新索引，避免旧片段继续被检索。</w:t>
      </w:r>
    </w:p>
    <w:p>
      <w:pPr>
        <w:pStyle w:val="Heading1"/>
        <w:keepNext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六、培训记录与签字确认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建议保存：签到/学习记录、测验成绩、实操作业、评分表、补训与补考记录、导师反馈、结业审批。保存期限及访问权限按公司档案和个人信息保护制度执行。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2200"/>
        <w:gridCol w:w="7160"/>
      </w:tblGrid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新人姓名/工号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导师姓名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培训起止日期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</w:r>
          </w:p>
        </w:tc>
      </w:tr>
      <w:t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203A5F"/>
                <w:sz w:val="19"/>
              </w:rPr>
              <w:t>结业结果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40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19"/>
              </w:rPr>
              <w:t>□通过   □补训/补考   □未通过</w:t>
            </w:r>
          </w:p>
        </w:tc>
      </w:tr>
    </w:tbl>
    <w:p>
      <w:pPr>
        <w:spacing w:before="240" w:after="120" w:line="300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新人签字：________________    导师签字：________________    部门经理：________________</w:t>
      </w:r>
    </w:p>
    <w:p>
      <w:r>
        <w:rPr>
          <w:rFonts w:ascii="Calibri" w:hAnsi="Calibri" w:eastAsia="Microsoft YaHei"/>
          <w:b w:val="0"/>
          <w:i w:val="0"/>
          <w:color w:val="666666"/>
          <w:sz w:val="19"/>
        </w:rPr>
        <w:t>日期：____年__月__日              日期：____年__月__日              日期：____年__月__日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66666"/>
        <w:sz w:val="17"/>
      </w:rPr>
      <w:t xml:space="preserve">FIN-ONB-001  ·  第 </w:t>
    </w:r>
    <w:r>
      <w:rPr>
        <w:rFonts w:ascii="Calibri" w:hAnsi="Calibri" w:eastAsia="Microsoft YaHe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7"/>
      </w:rPr>
      <w:t xml:space="preserve"> 页  ·  仅限授权范围内使用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666666"/>
        <w:sz w:val="17"/>
      </w:rPr>
      <w:t>新人培训手册  |  财务部  | 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 w:line="288" w:lineRule="auto"/>
    </w:pPr>
    <w:rPr>
      <w:rFonts w:ascii="Calibri" w:hAnsi="Calibri" w:eastAsia="Microsoft YaHei"/>
      <w:b/>
      <w:color w:val="203A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财务部新人培训内容与考核要求</dc:title>
  <dc:subject>新人培训与考核</dc:subject>
  <dc:creator>企业培训管理</dc:creator>
  <cp:keywords>新人培训,考核要求,RAG,AI智慧助手,权限隔离</cp:keywords>
  <dc:description>通用示范版；正式执行前请结合公司制度审定。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