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Noto Sans" w:hAnsi="Noto Sans" w:eastAsia="Noto Sans SC Thin"/>
          <w:b/>
          <w:color w:val="1F6D7A"/>
          <w:sz w:val="22"/>
        </w:rPr>
        <w:t>RAG 企业知识库  ·  技术部资料</w:t>
      </w:r>
    </w:p>
    <w:p>
      <w:pPr>
        <w:spacing w:before="160" w:after="200"/>
      </w:pPr>
      <w:r>
        <w:rPr>
          <w:rFonts w:ascii="Noto Sans" w:hAnsi="Noto Sans" w:eastAsia="Noto Sans SC Thin"/>
          <w:b/>
          <w:color w:val="17365D"/>
          <w:sz w:val="54"/>
        </w:rPr>
        <w:t>技术部软件开发与交付规范</w:t>
      </w:r>
    </w:p>
    <w:p>
      <w:pPr>
        <w:spacing w:after="360"/>
      </w:pPr>
      <w:r>
        <w:rPr>
          <w:rFonts w:ascii="Noto Sans" w:hAnsi="Noto Sans" w:eastAsia="Noto Sans SC Thin"/>
          <w:color w:val="667085"/>
          <w:sz w:val="22"/>
        </w:rPr>
        <w:t>规定智办AI OA项目的架构边界、代码协作、接口、数据库、测试、RAG开发和发布交付要求。</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2500"/>
        <w:gridCol w:w="6911"/>
      </w:tblGrid>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知识标题</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技术部软件开发与交付规范</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category</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技术部资料</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description</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规定智办AI OA项目的架构边界、代码协作、接口、数据库、测试、RAG开发和发布交付要求。</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适用对象</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技术部开发、测试、架构、产品技术协作人员</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责任部门</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access_scope</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DEPARTMENT</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access_department_id</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技术部ID（部署时填写BIGINT）</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min_role_level</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1（普通员工及以上）</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status / version</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ENABLED / V1.0</w:t>
            </w:r>
          </w:p>
        </w:tc>
      </w:tr>
      <w:tr>
        <w:tc>
          <w:tcPr>
            <w:tcW w:type="dxa" w:w="2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编制日期</w:t>
            </w:r>
          </w:p>
        </w:tc>
        <w:tc>
          <w:tcPr>
            <w:tcW w:type="dxa" w:w="69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2026年7月21日</w:t>
            </w:r>
          </w:p>
        </w:tc>
      </w:tr>
    </w:tbl>
    <w:p>
      <w:pPr>
        <w:spacing w:before="280" w:after="80"/>
      </w:pPr>
      <w:r>
        <w:rPr>
          <w:rFonts w:ascii="Noto Sans" w:hAnsi="Noto Sans" w:eastAsia="Noto Sans SC Thin"/>
          <w:b/>
          <w:color w:val="2E74B5"/>
          <w:sz w:val="23"/>
        </w:rPr>
        <w:t>使用提示</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411"/>
      </w:tblGrid>
      <w:tr>
        <w:tc>
          <w:tcPr>
            <w:tcW w:type="dxa" w:w="9411"/>
            <w:tcMar>
              <w:top w:w="90" w:type="dxa"/>
              <w:start w:w="120" w:type="dxa"/>
              <w:bottom w:w="90" w:type="dxa"/>
              <w:end w:w="120" w:type="dxa"/>
            </w:tcMar>
            <w:vAlign w:val="center"/>
            <w:shd w:fill="EAF4F5"/>
          </w:tcPr>
          <w:p>
            <w:pPr>
              <w:spacing w:before="40" w:after="40" w:line="288" w:lineRule="auto"/>
            </w:pPr>
            <w:r>
              <w:rPr>
                <w:rFonts w:ascii="Noto Sans" w:hAnsi="Noto Sans" w:eastAsia="Noto Sans SC Thin"/>
                <w:color w:val="25354A"/>
                <w:sz w:val="19"/>
              </w:rPr>
              <w:t>本文件是面向智办AI OA演示环境的企业知识示例，可用于Word上传、全文解析、按标题分片和向量检索。正式发布前应由责任部门审核公司名称、金额标准、部门编号、审批节点和地域性规则；系统生成的文件路径、大小、哈希、解析状态和索引状态不写入正文。</w:t>
            </w:r>
          </w:p>
        </w:tc>
      </w:tr>
    </w:tbl>
    <w:p>
      <w:r>
        <w:br w:type="page"/>
      </w:r>
    </w:p>
    <w:p>
      <w:pPr>
        <w:pStyle w:val="Heading1"/>
      </w:pPr>
      <w:r>
        <w:t>文档目的与适用边界</w:t>
      </w:r>
    </w:p>
    <w:p>
      <w:pPr>
        <w:jc w:val="both"/>
      </w:pPr>
      <w:r>
        <w:t>本规范用于建立一致的软件研发与交付基线，适配Spring Boot、Vue、MySQL、Nacos、Redis/RedisStack和可选Elasticsearch组成的智办AI OA。它不包含生产口令、真实IP、密钥、客户数据或应急账号。</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411"/>
      </w:tblGrid>
      <w:tr>
        <w:tc>
          <w:tcPr>
            <w:tcW w:type="dxa" w:w="9411"/>
            <w:tcMar>
              <w:top w:w="90" w:type="dxa"/>
              <w:start w:w="120" w:type="dxa"/>
              <w:bottom w:w="90" w:type="dxa"/>
              <w:end w:w="120" w:type="dxa"/>
            </w:tcMar>
            <w:vAlign w:val="center"/>
            <w:shd w:fill="F4F6F9"/>
          </w:tcPr>
          <w:p>
            <w:pPr>
              <w:spacing w:before="40" w:after="40" w:line="288" w:lineRule="auto"/>
            </w:pPr>
            <w:r>
              <w:rPr>
                <w:rFonts w:ascii="Noto Sans" w:hAnsi="Noto Sans" w:eastAsia="Noto Sans SC Thin"/>
                <w:color w:val="25354A"/>
                <w:sz w:val="19"/>
              </w:rPr>
              <w:t>检索边界：本知识文档只回答通用制度和操作原则，不存放账号口令、密钥、银行账号、未公开个人信息、客户商业秘密或具体案件材料。遇到审批冲突时，以OA中已生效的制度版本和授权记录为准。</w:t>
            </w:r>
          </w:p>
        </w:tc>
      </w:tr>
    </w:tbl>
    <w:p>
      <w:pPr>
        <w:pStyle w:val="Heading1"/>
      </w:pPr>
      <w:r>
        <w:t>知识目录</w:t>
      </w:r>
    </w:p>
    <w:p>
      <w:pPr>
        <w:pStyle w:val="ListBullet"/>
        <w:numPr>
          <w:ilvl w:val="0"/>
          <w:numId w:val="41"/>
        </w:numPr>
      </w:pPr>
      <w:r>
        <w:rPr>
          <w:rFonts w:ascii="Noto Sans" w:hAnsi="Noto Sans" w:eastAsia="Noto Sans SC Thin"/>
          <w:color w:val="25354A"/>
          <w:sz w:val="21"/>
        </w:rPr>
        <w:t>系统架构与模块边界</w:t>
      </w:r>
    </w:p>
    <w:p>
      <w:pPr>
        <w:pStyle w:val="ListBullet"/>
        <w:numPr>
          <w:ilvl w:val="0"/>
          <w:numId w:val="41"/>
        </w:numPr>
      </w:pPr>
      <w:r>
        <w:rPr>
          <w:rFonts w:ascii="Noto Sans" w:hAnsi="Noto Sans" w:eastAsia="Noto Sans SC Thin"/>
          <w:color w:val="25354A"/>
          <w:sz w:val="21"/>
        </w:rPr>
        <w:t>代码与Git协作</w:t>
      </w:r>
    </w:p>
    <w:p>
      <w:pPr>
        <w:pStyle w:val="ListBullet"/>
        <w:numPr>
          <w:ilvl w:val="0"/>
          <w:numId w:val="41"/>
        </w:numPr>
      </w:pPr>
      <w:r>
        <w:rPr>
          <w:rFonts w:ascii="Noto Sans" w:hAnsi="Noto Sans" w:eastAsia="Noto Sans SC Thin"/>
          <w:color w:val="25354A"/>
          <w:sz w:val="21"/>
        </w:rPr>
        <w:t>接口与权限设计</w:t>
      </w:r>
    </w:p>
    <w:p>
      <w:pPr>
        <w:pStyle w:val="ListBullet"/>
        <w:numPr>
          <w:ilvl w:val="0"/>
          <w:numId w:val="41"/>
        </w:numPr>
      </w:pPr>
      <w:r>
        <w:rPr>
          <w:rFonts w:ascii="Noto Sans" w:hAnsi="Noto Sans" w:eastAsia="Noto Sans SC Thin"/>
          <w:color w:val="25354A"/>
          <w:sz w:val="21"/>
        </w:rPr>
        <w:t>数据库与缓存</w:t>
      </w:r>
    </w:p>
    <w:p>
      <w:pPr>
        <w:pStyle w:val="ListBullet"/>
        <w:numPr>
          <w:ilvl w:val="0"/>
          <w:numId w:val="41"/>
        </w:numPr>
      </w:pPr>
      <w:r>
        <w:rPr>
          <w:rFonts w:ascii="Noto Sans" w:hAnsi="Noto Sans" w:eastAsia="Noto Sans SC Thin"/>
          <w:color w:val="25354A"/>
          <w:sz w:val="21"/>
        </w:rPr>
        <w:t>RAG知识处理与回答引用</w:t>
      </w:r>
    </w:p>
    <w:p>
      <w:pPr>
        <w:pStyle w:val="ListBullet"/>
        <w:numPr>
          <w:ilvl w:val="0"/>
          <w:numId w:val="41"/>
        </w:numPr>
      </w:pPr>
      <w:r>
        <w:rPr>
          <w:rFonts w:ascii="Noto Sans" w:hAnsi="Noto Sans" w:eastAsia="Noto Sans SC Thin"/>
          <w:color w:val="25354A"/>
          <w:sz w:val="21"/>
        </w:rPr>
        <w:t>测试、交付与质量门禁</w:t>
      </w:r>
    </w:p>
    <w:p>
      <w:pPr>
        <w:pStyle w:val="Heading1"/>
      </w:pPr>
      <w:r>
        <w:t>系统架构与模块边界</w:t>
      </w:r>
    </w:p>
    <w:p>
      <w:pPr>
        <w:jc w:val="both"/>
      </w:pPr>
      <w:r>
        <w:t>系统采用前后端分离和分层设计。模块应围绕业务职责划分，通过清晰接口协作，避免共享数据库表成为隐式耦合。</w:t>
      </w:r>
    </w:p>
    <w:p>
      <w:pPr>
        <w:pStyle w:val="Heading2"/>
      </w:pPr>
      <w:r>
        <w:t>技术栈基线</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2100"/>
        <w:gridCol w:w="3500"/>
        <w:gridCol w:w="3811"/>
      </w:tblGrid>
      <w:tr>
        <w:tc>
          <w:tcPr>
            <w:tcW w:type="dxa" w:w="21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层次</w:t>
            </w:r>
          </w:p>
        </w:tc>
        <w:tc>
          <w:tcPr>
            <w:tcW w:type="dxa" w:w="3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建议组件</w:t>
            </w:r>
          </w:p>
        </w:tc>
        <w:tc>
          <w:tcPr>
            <w:tcW w:type="dxa" w:w="3811"/>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职责</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前端</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Vue及配套工程化工具</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页面、路由、状态、表单校验和用户交互。</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后端</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Spring Boot</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业务服务、权限、审批、内容、AI会话和审计。</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关系数据</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MySQL</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用户、组织、流程、内容、来源元数据和引用记录。</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配置注册</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Nacos</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环境配置、服务发现和配置变更管理。</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缓存/向量</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Redis/RedisStack</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热点缓存、限流、会话辅助和RAG向量检索。</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搜索</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Elasticsearch（可选）</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全文检索、复杂筛选和日志检索。</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AI集成</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Spring AI或等价抽象</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模型调用、嵌入、检索增强和提示编排。</w:t>
            </w:r>
          </w:p>
        </w:tc>
      </w:tr>
    </w:tbl>
    <w:p>
      <w:pPr>
        <w:spacing w:after="0"/>
      </w:pPr>
    </w:p>
    <w:p>
      <w:pPr>
        <w:pStyle w:val="Heading2"/>
      </w:pPr>
      <w:r>
        <w:t>后端分层</w:t>
      </w:r>
    </w:p>
    <w:p>
      <w:pPr>
        <w:pStyle w:val="ListBullet"/>
        <w:numPr>
          <w:ilvl w:val="0"/>
          <w:numId w:val="41"/>
        </w:numPr>
      </w:pPr>
      <w:r>
        <w:rPr>
          <w:rFonts w:ascii="Noto Sans" w:hAnsi="Noto Sans" w:eastAsia="Noto Sans SC Thin"/>
          <w:color w:val="25354A"/>
          <w:sz w:val="21"/>
        </w:rPr>
        <w:t>Controller负责协议适配、参数校验和响应转换，不直接编写复杂业务逻辑。</w:t>
      </w:r>
    </w:p>
    <w:p>
      <w:pPr>
        <w:pStyle w:val="ListBullet"/>
        <w:numPr>
          <w:ilvl w:val="0"/>
          <w:numId w:val="41"/>
        </w:numPr>
      </w:pPr>
      <w:r>
        <w:rPr>
          <w:rFonts w:ascii="Noto Sans" w:hAnsi="Noto Sans" w:eastAsia="Noto Sans SC Thin"/>
          <w:color w:val="25354A"/>
          <w:sz w:val="21"/>
        </w:rPr>
        <w:t>Application/Service编排业务用例、事务和权限判断，保持对外行为可测试。</w:t>
      </w:r>
    </w:p>
    <w:p>
      <w:pPr>
        <w:pStyle w:val="ListBullet"/>
        <w:numPr>
          <w:ilvl w:val="0"/>
          <w:numId w:val="41"/>
        </w:numPr>
      </w:pPr>
      <w:r>
        <w:rPr>
          <w:rFonts w:ascii="Noto Sans" w:hAnsi="Noto Sans" w:eastAsia="Noto Sans SC Thin"/>
          <w:color w:val="25354A"/>
          <w:sz w:val="21"/>
        </w:rPr>
        <w:t>Domain或核心业务对象承载稳定规则；Repository/Mapper负责持久化。</w:t>
      </w:r>
    </w:p>
    <w:p>
      <w:pPr>
        <w:pStyle w:val="ListBullet"/>
        <w:numPr>
          <w:ilvl w:val="0"/>
          <w:numId w:val="41"/>
        </w:numPr>
      </w:pPr>
      <w:r>
        <w:rPr>
          <w:rFonts w:ascii="Noto Sans" w:hAnsi="Noto Sans" w:eastAsia="Noto Sans SC Thin"/>
          <w:color w:val="25354A"/>
          <w:sz w:val="21"/>
        </w:rPr>
        <w:t>Infrastructure封装Nacos、Redis、向量库、文件存储、模型供应商和第三方接口。</w:t>
      </w:r>
    </w:p>
    <w:p>
      <w:pPr>
        <w:pStyle w:val="ListBullet"/>
        <w:numPr>
          <w:ilvl w:val="0"/>
          <w:numId w:val="41"/>
        </w:numPr>
      </w:pPr>
      <w:r>
        <w:rPr>
          <w:rFonts w:ascii="Noto Sans" w:hAnsi="Noto Sans" w:eastAsia="Noto Sans SC Thin"/>
          <w:color w:val="25354A"/>
          <w:sz w:val="21"/>
        </w:rPr>
        <w:t>跨模块调用优先使用公开服务接口或事件，不直接访问对方内部Mapper。</w:t>
      </w:r>
    </w:p>
    <w:p>
      <w:pPr>
        <w:pStyle w:val="Heading2"/>
      </w:pPr>
      <w:r>
        <w:t>核心业务模块</w:t>
      </w:r>
    </w:p>
    <w:p>
      <w:pPr>
        <w:pStyle w:val="ListBullet"/>
        <w:numPr>
          <w:ilvl w:val="0"/>
          <w:numId w:val="41"/>
        </w:numPr>
      </w:pPr>
      <w:r>
        <w:rPr>
          <w:rFonts w:ascii="Noto Sans" w:hAnsi="Noto Sans" w:eastAsia="Noto Sans SC Thin"/>
          <w:color w:val="25354A"/>
          <w:sz w:val="21"/>
        </w:rPr>
        <w:t>用户与组织：账号、员工、部门、角色及组织关系。</w:t>
      </w:r>
    </w:p>
    <w:p>
      <w:pPr>
        <w:pStyle w:val="ListBullet"/>
        <w:numPr>
          <w:ilvl w:val="0"/>
          <w:numId w:val="41"/>
        </w:numPr>
      </w:pPr>
      <w:r>
        <w:rPr>
          <w:rFonts w:ascii="Noto Sans" w:hAnsi="Noto Sans" w:eastAsia="Noto Sans SC Thin"/>
          <w:color w:val="25354A"/>
          <w:sz w:val="21"/>
        </w:rPr>
        <w:t>内容与公告：分类、发布、版本、可见范围、浏览量和附件。</w:t>
      </w:r>
    </w:p>
    <w:p>
      <w:pPr>
        <w:pStyle w:val="ListBullet"/>
        <w:numPr>
          <w:ilvl w:val="0"/>
          <w:numId w:val="41"/>
        </w:numPr>
      </w:pPr>
      <w:r>
        <w:rPr>
          <w:rFonts w:ascii="Noto Sans" w:hAnsi="Noto Sans" w:eastAsia="Noto Sans SC Thin"/>
          <w:color w:val="25354A"/>
          <w:sz w:val="21"/>
        </w:rPr>
        <w:t>流程审批：流程定义、实例、节点、任务、意见和审计。</w:t>
      </w:r>
    </w:p>
    <w:p>
      <w:pPr>
        <w:pStyle w:val="ListBullet"/>
        <w:numPr>
          <w:ilvl w:val="0"/>
          <w:numId w:val="41"/>
        </w:numPr>
      </w:pPr>
      <w:r>
        <w:rPr>
          <w:rFonts w:ascii="Noto Sans" w:hAnsi="Noto Sans" w:eastAsia="Noto Sans SC Thin"/>
          <w:color w:val="25354A"/>
          <w:sz w:val="21"/>
        </w:rPr>
        <w:t>企业知识：知识来源、文件解析、文本分片、向量索引、权限过滤。</w:t>
      </w:r>
    </w:p>
    <w:p>
      <w:pPr>
        <w:pStyle w:val="ListBullet"/>
        <w:numPr>
          <w:ilvl w:val="0"/>
          <w:numId w:val="41"/>
        </w:numPr>
      </w:pPr>
      <w:r>
        <w:rPr>
          <w:rFonts w:ascii="Noto Sans" w:hAnsi="Noto Sans" w:eastAsia="Noto Sans SC Thin"/>
          <w:color w:val="25354A"/>
          <w:sz w:val="21"/>
        </w:rPr>
        <w:t>AI问答：会话、消息、检索、回答、引用与用户反馈。</w:t>
      </w:r>
    </w:p>
    <w:p>
      <w:pPr>
        <w:pStyle w:val="ListBullet"/>
        <w:numPr>
          <w:ilvl w:val="0"/>
          <w:numId w:val="41"/>
        </w:numPr>
      </w:pPr>
      <w:r>
        <w:rPr>
          <w:rFonts w:ascii="Noto Sans" w:hAnsi="Noto Sans" w:eastAsia="Noto Sans SC Thin"/>
          <w:color w:val="25354A"/>
          <w:sz w:val="21"/>
        </w:rPr>
        <w:t>系统治理：配置、日志、告警、数据字典和管理操作审计。</w:t>
      </w:r>
    </w:p>
    <w:p>
      <w:pPr>
        <w:pStyle w:val="Heading1"/>
      </w:pPr>
      <w:r>
        <w:t>代码与Git协作</w:t>
      </w:r>
    </w:p>
    <w:p>
      <w:pPr>
        <w:jc w:val="both"/>
      </w:pPr>
      <w:r>
        <w:t>代码仓库是可审计的协作记录。任何进入主干的修改都应能够解释、评审、测试和回退。</w:t>
      </w:r>
    </w:p>
    <w:p>
      <w:pPr>
        <w:pStyle w:val="Heading2"/>
      </w:pPr>
      <w:r>
        <w:t>分支与提交</w:t>
      </w:r>
    </w:p>
    <w:p>
      <w:pPr>
        <w:pStyle w:val="ListBullet"/>
        <w:numPr>
          <w:ilvl w:val="0"/>
          <w:numId w:val="41"/>
        </w:numPr>
      </w:pPr>
      <w:r>
        <w:rPr>
          <w:rFonts w:ascii="Noto Sans" w:hAnsi="Noto Sans" w:eastAsia="Noto Sans SC Thin"/>
          <w:color w:val="25354A"/>
          <w:sz w:val="21"/>
        </w:rPr>
        <w:t>主分支保持可发布；功能、修复和实验使用短生命周期分支，命名包含类型与简短主题。</w:t>
      </w:r>
    </w:p>
    <w:p>
      <w:pPr>
        <w:pStyle w:val="ListBullet"/>
        <w:numPr>
          <w:ilvl w:val="0"/>
          <w:numId w:val="41"/>
        </w:numPr>
      </w:pPr>
      <w:r>
        <w:rPr>
          <w:rFonts w:ascii="Noto Sans" w:hAnsi="Noto Sans" w:eastAsia="Noto Sans SC Thin"/>
          <w:color w:val="25354A"/>
          <w:sz w:val="21"/>
        </w:rPr>
        <w:t>提交应聚焦一个逻辑目的，消息说明做了什么和为什么；不要将格式化、依赖升级与业务修改无关混合。</w:t>
      </w:r>
    </w:p>
    <w:p>
      <w:pPr>
        <w:pStyle w:val="ListBullet"/>
        <w:numPr>
          <w:ilvl w:val="0"/>
          <w:numId w:val="41"/>
        </w:numPr>
      </w:pPr>
      <w:r>
        <w:rPr>
          <w:rFonts w:ascii="Noto Sans" w:hAnsi="Noto Sans" w:eastAsia="Noto Sans SC Thin"/>
          <w:color w:val="25354A"/>
          <w:sz w:val="21"/>
        </w:rPr>
        <w:t>禁止提交口令、Token、私钥、数据库备份、生产配置和包含真实个人信息的样例。</w:t>
      </w:r>
    </w:p>
    <w:p>
      <w:pPr>
        <w:pStyle w:val="ListBullet"/>
        <w:numPr>
          <w:ilvl w:val="0"/>
          <w:numId w:val="41"/>
        </w:numPr>
      </w:pPr>
      <w:r>
        <w:rPr>
          <w:rFonts w:ascii="Noto Sans" w:hAnsi="Noto Sans" w:eastAsia="Noto Sans SC Thin"/>
          <w:color w:val="25354A"/>
          <w:sz w:val="21"/>
        </w:rPr>
        <w:t>合并前同步目标分支并解决冲突；不得通过覆盖他人改动来规避冲突分析。</w:t>
      </w:r>
    </w:p>
    <w:p>
      <w:pPr>
        <w:pStyle w:val="Heading2"/>
      </w:pPr>
      <w:r>
        <w:t>合并请求要求</w:t>
      </w:r>
    </w:p>
    <w:p>
      <w:pPr>
        <w:pStyle w:val="ListBullet"/>
        <w:numPr>
          <w:ilvl w:val="0"/>
          <w:numId w:val="41"/>
        </w:numPr>
      </w:pPr>
      <w:r>
        <w:rPr>
          <w:rFonts w:ascii="Noto Sans" w:hAnsi="Noto Sans" w:eastAsia="Noto Sans SC Thin"/>
          <w:color w:val="25354A"/>
          <w:sz w:val="21"/>
        </w:rPr>
        <w:t>说明背景、变更范围、接口或数据影响、验证结果、风险和回退方式。</w:t>
      </w:r>
    </w:p>
    <w:p>
      <w:pPr>
        <w:pStyle w:val="ListBullet"/>
        <w:numPr>
          <w:ilvl w:val="0"/>
          <w:numId w:val="41"/>
        </w:numPr>
      </w:pPr>
      <w:r>
        <w:rPr>
          <w:rFonts w:ascii="Noto Sans" w:hAnsi="Noto Sans" w:eastAsia="Noto Sans SC Thin"/>
          <w:color w:val="25354A"/>
          <w:sz w:val="21"/>
        </w:rPr>
        <w:t>页面修改附关键截图；接口修改附请求响应示例；数据库修改附升级与回滚说明。</w:t>
      </w:r>
    </w:p>
    <w:p>
      <w:pPr>
        <w:pStyle w:val="ListBullet"/>
        <w:numPr>
          <w:ilvl w:val="0"/>
          <w:numId w:val="41"/>
        </w:numPr>
      </w:pPr>
      <w:r>
        <w:rPr>
          <w:rFonts w:ascii="Noto Sans" w:hAnsi="Noto Sans" w:eastAsia="Noto Sans SC Thin"/>
          <w:color w:val="25354A"/>
          <w:sz w:val="21"/>
        </w:rPr>
        <w:t>至少一名具备相关模块知识的评审人批准，高风险安全、权限、资金或生产变更需专项评审。</w:t>
      </w:r>
    </w:p>
    <w:p>
      <w:pPr>
        <w:pStyle w:val="ListBullet"/>
        <w:numPr>
          <w:ilvl w:val="0"/>
          <w:numId w:val="41"/>
        </w:numPr>
      </w:pPr>
      <w:r>
        <w:rPr>
          <w:rFonts w:ascii="Noto Sans" w:hAnsi="Noto Sans" w:eastAsia="Noto Sans SC Thin"/>
          <w:color w:val="25354A"/>
          <w:sz w:val="21"/>
        </w:rPr>
        <w:t>评审关注正确性、边界、并发、异常、权限、数据迁移、可观测性和维护成本。</w:t>
      </w:r>
    </w:p>
    <w:p>
      <w:pPr>
        <w:pStyle w:val="Heading2"/>
      </w:pPr>
      <w:r>
        <w:t>编码基本规则</w:t>
      </w:r>
    </w:p>
    <w:p>
      <w:pPr>
        <w:pStyle w:val="ListBullet"/>
        <w:numPr>
          <w:ilvl w:val="0"/>
          <w:numId w:val="41"/>
        </w:numPr>
      </w:pPr>
      <w:r>
        <w:rPr>
          <w:rFonts w:ascii="Noto Sans" w:hAnsi="Noto Sans" w:eastAsia="Noto Sans SC Thin"/>
          <w:color w:val="25354A"/>
          <w:sz w:val="21"/>
        </w:rPr>
        <w:t>命名表达业务含义，避免无上下文缩写和大而泛的Util类。</w:t>
      </w:r>
    </w:p>
    <w:p>
      <w:pPr>
        <w:pStyle w:val="ListBullet"/>
        <w:numPr>
          <w:ilvl w:val="0"/>
          <w:numId w:val="41"/>
        </w:numPr>
      </w:pPr>
      <w:r>
        <w:rPr>
          <w:rFonts w:ascii="Noto Sans" w:hAnsi="Noto Sans" w:eastAsia="Noto Sans SC Thin"/>
          <w:color w:val="25354A"/>
          <w:sz w:val="21"/>
        </w:rPr>
        <w:t>公共方法校验输入边界，异常包含可定位但不泄露敏感信息的错误码与消息。</w:t>
      </w:r>
    </w:p>
    <w:p>
      <w:pPr>
        <w:pStyle w:val="ListBullet"/>
        <w:numPr>
          <w:ilvl w:val="0"/>
          <w:numId w:val="41"/>
        </w:numPr>
      </w:pPr>
      <w:r>
        <w:rPr>
          <w:rFonts w:ascii="Noto Sans" w:hAnsi="Noto Sans" w:eastAsia="Noto Sans SC Thin"/>
          <w:color w:val="25354A"/>
          <w:sz w:val="21"/>
        </w:rPr>
        <w:t>外部调用设置连接和读取超时；对可重试操作限定次数并考虑幂等。</w:t>
      </w:r>
    </w:p>
    <w:p>
      <w:pPr>
        <w:pStyle w:val="ListBullet"/>
        <w:numPr>
          <w:ilvl w:val="0"/>
          <w:numId w:val="41"/>
        </w:numPr>
      </w:pPr>
      <w:r>
        <w:rPr>
          <w:rFonts w:ascii="Noto Sans" w:hAnsi="Noto Sans" w:eastAsia="Noto Sans SC Thin"/>
          <w:color w:val="25354A"/>
          <w:sz w:val="21"/>
        </w:rPr>
        <w:t>日志记录请求标识、关键业务标识和结果，不记录密码、Token、身份证完整号码或文档全文。</w:t>
      </w:r>
    </w:p>
    <w:p>
      <w:pPr>
        <w:pStyle w:val="ListBullet"/>
        <w:numPr>
          <w:ilvl w:val="0"/>
          <w:numId w:val="41"/>
        </w:numPr>
      </w:pPr>
      <w:r>
        <w:rPr>
          <w:rFonts w:ascii="Noto Sans" w:hAnsi="Noto Sans" w:eastAsia="Noto Sans SC Thin"/>
          <w:color w:val="25354A"/>
          <w:sz w:val="21"/>
        </w:rPr>
        <w:t>注释解释原因、约束和特殊取舍，不重复代码表面含义。</w:t>
      </w:r>
    </w:p>
    <w:p>
      <w:pPr>
        <w:pStyle w:val="Heading1"/>
      </w:pPr>
      <w:r>
        <w:t>接口与权限设计</w:t>
      </w:r>
    </w:p>
    <w:p>
      <w:pPr>
        <w:jc w:val="both"/>
      </w:pPr>
      <w:r>
        <w:t>接口设计应稳定、可理解、可校验，并在服务端完成最终授权。前端隐藏按钮不能替代后端权限控制。</w:t>
      </w:r>
    </w:p>
    <w:p>
      <w:pPr>
        <w:pStyle w:val="Heading2"/>
      </w:pPr>
      <w:r>
        <w:t>REST接口约定</w:t>
      </w:r>
    </w:p>
    <w:p>
      <w:pPr>
        <w:pStyle w:val="ListBullet"/>
        <w:numPr>
          <w:ilvl w:val="0"/>
          <w:numId w:val="41"/>
        </w:numPr>
      </w:pPr>
      <w:r>
        <w:rPr>
          <w:rFonts w:ascii="Noto Sans" w:hAnsi="Noto Sans" w:eastAsia="Noto Sans SC Thin"/>
          <w:color w:val="25354A"/>
          <w:sz w:val="21"/>
        </w:rPr>
        <w:t>URL使用名词表达资源，HTTP方法表达查询、创建、修改和删除语义。</w:t>
      </w:r>
    </w:p>
    <w:p>
      <w:pPr>
        <w:pStyle w:val="ListBullet"/>
        <w:numPr>
          <w:ilvl w:val="0"/>
          <w:numId w:val="41"/>
        </w:numPr>
      </w:pPr>
      <w:r>
        <w:rPr>
          <w:rFonts w:ascii="Noto Sans" w:hAnsi="Noto Sans" w:eastAsia="Noto Sans SC Thin"/>
          <w:color w:val="25354A"/>
          <w:sz w:val="21"/>
        </w:rPr>
        <w:t>统一响应包含业务码、消息、数据和请求追踪标识；HTTP状态与业务结果保持一致。</w:t>
      </w:r>
    </w:p>
    <w:p>
      <w:pPr>
        <w:pStyle w:val="ListBullet"/>
        <w:numPr>
          <w:ilvl w:val="0"/>
          <w:numId w:val="41"/>
        </w:numPr>
      </w:pPr>
      <w:r>
        <w:rPr>
          <w:rFonts w:ascii="Noto Sans" w:hAnsi="Noto Sans" w:eastAsia="Noto Sans SC Thin"/>
          <w:color w:val="25354A"/>
          <w:sz w:val="21"/>
        </w:rPr>
        <w:t>列表接口统一分页、排序和筛选参数，并设置合理上限，禁止无边界全量查询。</w:t>
      </w:r>
    </w:p>
    <w:p>
      <w:pPr>
        <w:pStyle w:val="ListBullet"/>
        <w:numPr>
          <w:ilvl w:val="0"/>
          <w:numId w:val="41"/>
        </w:numPr>
      </w:pPr>
      <w:r>
        <w:rPr>
          <w:rFonts w:ascii="Noto Sans" w:hAnsi="Noto Sans" w:eastAsia="Noto Sans SC Thin"/>
          <w:color w:val="25354A"/>
          <w:sz w:val="21"/>
        </w:rPr>
        <w:t>接口变更优先保持向后兼容；破坏性变更需版本化、迁移通知和下线计划。</w:t>
      </w:r>
    </w:p>
    <w:p>
      <w:pPr>
        <w:pStyle w:val="ListBullet"/>
        <w:numPr>
          <w:ilvl w:val="0"/>
          <w:numId w:val="41"/>
        </w:numPr>
      </w:pPr>
      <w:r>
        <w:rPr>
          <w:rFonts w:ascii="Noto Sans" w:hAnsi="Noto Sans" w:eastAsia="Noto Sans SC Thin"/>
          <w:color w:val="25354A"/>
          <w:sz w:val="21"/>
        </w:rPr>
        <w:t>上传接口校验扩展名、MIME、大小、文件签名和恶意内容，文件通过受控下载返回。</w:t>
      </w:r>
    </w:p>
    <w:p>
      <w:pPr>
        <w:pStyle w:val="Heading2"/>
      </w:pPr>
      <w:r>
        <w:t>鉴权与数据权限</w:t>
      </w:r>
    </w:p>
    <w:p>
      <w:pPr>
        <w:pStyle w:val="ListBullet"/>
        <w:numPr>
          <w:ilvl w:val="0"/>
          <w:numId w:val="41"/>
        </w:numPr>
      </w:pPr>
      <w:r>
        <w:rPr>
          <w:rFonts w:ascii="Noto Sans" w:hAnsi="Noto Sans" w:eastAsia="Noto Sans SC Thin"/>
          <w:color w:val="25354A"/>
          <w:sz w:val="21"/>
        </w:rPr>
        <w:t>身份认证确认是谁，功能授权确认能做什么，数据权限确认能访问哪些记录，三者不可混用。</w:t>
      </w:r>
    </w:p>
    <w:p>
      <w:pPr>
        <w:pStyle w:val="ListBullet"/>
        <w:numPr>
          <w:ilvl w:val="0"/>
          <w:numId w:val="41"/>
        </w:numPr>
      </w:pPr>
      <w:r>
        <w:rPr>
          <w:rFonts w:ascii="Noto Sans" w:hAnsi="Noto Sans" w:eastAsia="Noto Sans SC Thin"/>
          <w:color w:val="25354A"/>
          <w:sz w:val="21"/>
        </w:rPr>
        <w:t>企业知识检索先根据status、access_scope、department和min_role_level过滤可见来源，再执行向量或全文召回。</w:t>
      </w:r>
    </w:p>
    <w:p>
      <w:pPr>
        <w:pStyle w:val="ListBullet"/>
        <w:numPr>
          <w:ilvl w:val="0"/>
          <w:numId w:val="41"/>
        </w:numPr>
      </w:pPr>
      <w:r>
        <w:rPr>
          <w:rFonts w:ascii="Noto Sans" w:hAnsi="Noto Sans" w:eastAsia="Noto Sans SC Thin"/>
          <w:color w:val="25354A"/>
          <w:sz w:val="21"/>
        </w:rPr>
        <w:t>SUPER_ADMIN可访问全部启用来源；DEPT_MANAGER和EMPLOYEE仍受部门及最低角色等级限制。</w:t>
      </w:r>
    </w:p>
    <w:p>
      <w:pPr>
        <w:pStyle w:val="ListBullet"/>
        <w:numPr>
          <w:ilvl w:val="0"/>
          <w:numId w:val="41"/>
        </w:numPr>
      </w:pPr>
      <w:r>
        <w:rPr>
          <w:rFonts w:ascii="Noto Sans" w:hAnsi="Noto Sans" w:eastAsia="Noto Sans SC Thin"/>
          <w:color w:val="25354A"/>
          <w:sz w:val="21"/>
        </w:rPr>
        <w:t>AI会话保存提问时角色、部门与权限摘要快照，用于缓存隔离、审计和问题复现。</w:t>
      </w:r>
    </w:p>
    <w:p>
      <w:pPr>
        <w:pStyle w:val="ListBullet"/>
        <w:numPr>
          <w:ilvl w:val="0"/>
          <w:numId w:val="41"/>
        </w:numPr>
      </w:pPr>
      <w:r>
        <w:rPr>
          <w:rFonts w:ascii="Noto Sans" w:hAnsi="Noto Sans" w:eastAsia="Noto Sans SC Thin"/>
          <w:color w:val="25354A"/>
          <w:sz w:val="21"/>
        </w:rPr>
        <w:t>管理员操作、权限变更、知识发布和批量导出应记录操作人、时间、对象、结果和必要的变更摘要。</w:t>
      </w:r>
    </w:p>
    <w:p>
      <w:pPr>
        <w:pStyle w:val="Heading1"/>
      </w:pPr>
      <w:r>
        <w:t>数据库与缓存</w:t>
      </w:r>
    </w:p>
    <w:p>
      <w:pPr>
        <w:jc w:val="both"/>
      </w:pPr>
      <w:r>
        <w:t>数据模型应保证约束清晰、迁移可追溯、敏感数据可控。缓存只用于提升性能，不能成为唯一事实来源。</w:t>
      </w:r>
    </w:p>
    <w:p>
      <w:pPr>
        <w:pStyle w:val="Heading2"/>
      </w:pPr>
      <w:r>
        <w:t>数据库变更</w:t>
      </w:r>
    </w:p>
    <w:p>
      <w:pPr>
        <w:pStyle w:val="ListBullet"/>
        <w:numPr>
          <w:ilvl w:val="0"/>
          <w:numId w:val="41"/>
        </w:numPr>
      </w:pPr>
      <w:r>
        <w:rPr>
          <w:rFonts w:ascii="Noto Sans" w:hAnsi="Noto Sans" w:eastAsia="Noto Sans SC Thin"/>
          <w:color w:val="25354A"/>
          <w:sz w:val="21"/>
        </w:rPr>
        <w:t>所有结构变更通过版本化SQL或迁移工具管理，先在测试环境验证再执行。</w:t>
      </w:r>
    </w:p>
    <w:p>
      <w:pPr>
        <w:pStyle w:val="ListBullet"/>
        <w:numPr>
          <w:ilvl w:val="0"/>
          <w:numId w:val="41"/>
        </w:numPr>
      </w:pPr>
      <w:r>
        <w:rPr>
          <w:rFonts w:ascii="Noto Sans" w:hAnsi="Noto Sans" w:eastAsia="Noto Sans SC Thin"/>
          <w:color w:val="25354A"/>
          <w:sz w:val="21"/>
        </w:rPr>
        <w:t>新增字段明确NULL策略、默认值、注释、索引和历史数据回填方式。</w:t>
      </w:r>
    </w:p>
    <w:p>
      <w:pPr>
        <w:pStyle w:val="ListBullet"/>
        <w:numPr>
          <w:ilvl w:val="0"/>
          <w:numId w:val="41"/>
        </w:numPr>
      </w:pPr>
      <w:r>
        <w:rPr>
          <w:rFonts w:ascii="Noto Sans" w:hAnsi="Noto Sans" w:eastAsia="Noto Sans SC Thin"/>
          <w:color w:val="25354A"/>
          <w:sz w:val="21"/>
        </w:rPr>
        <w:t>大表DDL、批量更新和索引重建评估锁表、日志、磁盘和回滚风险。</w:t>
      </w:r>
    </w:p>
    <w:p>
      <w:pPr>
        <w:pStyle w:val="ListBullet"/>
        <w:numPr>
          <w:ilvl w:val="0"/>
          <w:numId w:val="41"/>
        </w:numPr>
      </w:pPr>
      <w:r>
        <w:rPr>
          <w:rFonts w:ascii="Noto Sans" w:hAnsi="Noto Sans" w:eastAsia="Noto Sans SC Thin"/>
          <w:color w:val="25354A"/>
          <w:sz w:val="21"/>
        </w:rPr>
        <w:t>外键、CHECK或应用校验应与实际部署版本兼容；逻辑关联必须在服务层保证一致性。</w:t>
      </w:r>
    </w:p>
    <w:p>
      <w:pPr>
        <w:pStyle w:val="ListBullet"/>
        <w:numPr>
          <w:ilvl w:val="0"/>
          <w:numId w:val="41"/>
        </w:numPr>
      </w:pPr>
      <w:r>
        <w:rPr>
          <w:rFonts w:ascii="Noto Sans" w:hAnsi="Noto Sans" w:eastAsia="Noto Sans SC Thin"/>
          <w:color w:val="25354A"/>
          <w:sz w:val="21"/>
        </w:rPr>
        <w:t>查询优化以执行计划和真实负载为依据，避免无选择性索引和重复索引。</w:t>
      </w:r>
    </w:p>
    <w:p>
      <w:pPr>
        <w:pStyle w:val="Heading2"/>
      </w:pPr>
      <w:r>
        <w:t>RAG来源表约束</w:t>
      </w:r>
    </w:p>
    <w:p>
      <w:pPr>
        <w:pStyle w:val="ListBullet"/>
        <w:numPr>
          <w:ilvl w:val="0"/>
          <w:numId w:val="41"/>
        </w:numPr>
      </w:pPr>
      <w:r>
        <w:rPr>
          <w:rFonts w:ascii="Noto Sans" w:hAnsi="Noto Sans" w:eastAsia="Noto Sans SC Thin"/>
          <w:color w:val="25354A"/>
          <w:sz w:val="21"/>
        </w:rPr>
        <w:t>oa_ai_source保存标题、分类、简介、文件元数据、解析与索引状态、权限范围、版本和上传人。</w:t>
      </w:r>
    </w:p>
    <w:p>
      <w:pPr>
        <w:pStyle w:val="ListBullet"/>
        <w:numPr>
          <w:ilvl w:val="0"/>
          <w:numId w:val="41"/>
        </w:numPr>
      </w:pPr>
      <w:r>
        <w:rPr>
          <w:rFonts w:ascii="Noto Sans" w:hAnsi="Noto Sans" w:eastAsia="Noto Sans SC Thin"/>
          <w:color w:val="25354A"/>
          <w:sz w:val="21"/>
        </w:rPr>
        <w:t>oa_ai_source_chunk保存来源ID、分片序号、章节标题、正文、哈希、Token数、向量键和扩展元数据。</w:t>
      </w:r>
    </w:p>
    <w:p>
      <w:pPr>
        <w:pStyle w:val="ListBullet"/>
        <w:numPr>
          <w:ilvl w:val="0"/>
          <w:numId w:val="41"/>
        </w:numPr>
      </w:pPr>
      <w:r>
        <w:rPr>
          <w:rFonts w:ascii="Noto Sans" w:hAnsi="Noto Sans" w:eastAsia="Noto Sans SC Thin"/>
          <w:color w:val="25354A"/>
          <w:sz w:val="21"/>
        </w:rPr>
        <w:t>相同source_id下chunk_no唯一；重新解析应采用新版本或原子替换，避免检索到半套分片。</w:t>
      </w:r>
    </w:p>
    <w:p>
      <w:pPr>
        <w:pStyle w:val="ListBullet"/>
        <w:numPr>
          <w:ilvl w:val="0"/>
          <w:numId w:val="41"/>
        </w:numPr>
      </w:pPr>
      <w:r>
        <w:rPr>
          <w:rFonts w:ascii="Noto Sans" w:hAnsi="Noto Sans" w:eastAsia="Noto Sans SC Thin"/>
          <w:color w:val="25354A"/>
          <w:sz w:val="21"/>
        </w:rPr>
        <w:t>file_hash用于文件去重与完整性校验，content_hash用于分片变更识别；不得将哈希误作访问令牌。</w:t>
      </w:r>
    </w:p>
    <w:p>
      <w:pPr>
        <w:pStyle w:val="ListBullet"/>
        <w:numPr>
          <w:ilvl w:val="0"/>
          <w:numId w:val="41"/>
        </w:numPr>
      </w:pPr>
      <w:r>
        <w:rPr>
          <w:rFonts w:ascii="Noto Sans" w:hAnsi="Noto Sans" w:eastAsia="Noto Sans SC Thin"/>
          <w:color w:val="25354A"/>
          <w:sz w:val="21"/>
        </w:rPr>
        <w:t>原始文件删除或禁用时，同步停止对应分片和向量记录的召回。</w:t>
      </w:r>
    </w:p>
    <w:p>
      <w:pPr>
        <w:pStyle w:val="Heading2"/>
      </w:pPr>
      <w:r>
        <w:t>Redis使用规则</w:t>
      </w:r>
    </w:p>
    <w:p>
      <w:pPr>
        <w:pStyle w:val="ListBullet"/>
        <w:numPr>
          <w:ilvl w:val="0"/>
          <w:numId w:val="41"/>
        </w:numPr>
      </w:pPr>
      <w:r>
        <w:rPr>
          <w:rFonts w:ascii="Noto Sans" w:hAnsi="Noto Sans" w:eastAsia="Noto Sans SC Thin"/>
          <w:color w:val="25354A"/>
          <w:sz w:val="21"/>
        </w:rPr>
        <w:t>Key包含系统、环境、业务、版本和对象标识，设置可解释的TTL。</w:t>
      </w:r>
    </w:p>
    <w:p>
      <w:pPr>
        <w:pStyle w:val="ListBullet"/>
        <w:numPr>
          <w:ilvl w:val="0"/>
          <w:numId w:val="41"/>
        </w:numPr>
      </w:pPr>
      <w:r>
        <w:rPr>
          <w:rFonts w:ascii="Noto Sans" w:hAnsi="Noto Sans" w:eastAsia="Noto Sans SC Thin"/>
          <w:color w:val="25354A"/>
          <w:sz w:val="21"/>
        </w:rPr>
        <w:t>缓存更新采用删除或版本切换策略，防止长期脏数据；关键业务读取必须能回源数据库。</w:t>
      </w:r>
    </w:p>
    <w:p>
      <w:pPr>
        <w:pStyle w:val="ListBullet"/>
        <w:numPr>
          <w:ilvl w:val="0"/>
          <w:numId w:val="41"/>
        </w:numPr>
      </w:pPr>
      <w:r>
        <w:rPr>
          <w:rFonts w:ascii="Noto Sans" w:hAnsi="Noto Sans" w:eastAsia="Noto Sans SC Thin"/>
          <w:color w:val="25354A"/>
          <w:sz w:val="21"/>
        </w:rPr>
        <w:t>分布式锁限定租期、持有者和释放条件，业务操作本身仍需幂等。</w:t>
      </w:r>
    </w:p>
    <w:p>
      <w:pPr>
        <w:pStyle w:val="ListBullet"/>
        <w:numPr>
          <w:ilvl w:val="0"/>
          <w:numId w:val="41"/>
        </w:numPr>
      </w:pPr>
      <w:r>
        <w:rPr>
          <w:rFonts w:ascii="Noto Sans" w:hAnsi="Noto Sans" w:eastAsia="Noto Sans SC Thin"/>
          <w:color w:val="25354A"/>
          <w:sz w:val="21"/>
        </w:rPr>
        <w:t>热点公告可基于view_count做缓存，但浏览量更新需防止高并发覆盖和恶意刷量。</w:t>
      </w:r>
    </w:p>
    <w:p>
      <w:pPr>
        <w:pStyle w:val="Heading1"/>
      </w:pPr>
      <w:r>
        <w:t>RAG知识处理与回答引用</w:t>
      </w:r>
    </w:p>
    <w:p>
      <w:pPr>
        <w:jc w:val="both"/>
      </w:pPr>
      <w:r>
        <w:t>RAG链路必须同时保证内容质量、权限正确性和回答可追溯性。检索分数不是授权依据。</w:t>
      </w:r>
    </w:p>
    <w:p>
      <w:pPr>
        <w:pStyle w:val="Heading2"/>
      </w:pPr>
      <w:r>
        <w:t>文件入库流程</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2100"/>
        <w:gridCol w:w="3500"/>
        <w:gridCol w:w="3811"/>
      </w:tblGrid>
      <w:tr>
        <w:tc>
          <w:tcPr>
            <w:tcW w:type="dxa" w:w="21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阶段</w:t>
            </w:r>
          </w:p>
        </w:tc>
        <w:tc>
          <w:tcPr>
            <w:tcW w:type="dxa" w:w="35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状态</w:t>
            </w:r>
          </w:p>
        </w:tc>
        <w:tc>
          <w:tcPr>
            <w:tcW w:type="dxa" w:w="3811"/>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关键检查</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上传</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来源记录创建</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类型、大小、哈希、权限、上传人和受控路径。</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解析</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PENDING→PROCESSING→SUCCESS/FAILED</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正文完整、标题层级、错误信息脱敏。</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分片</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chunk生成</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语义完整、序号唯一、哈希与元数据保留。</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索引</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PENDING→PROCESSING→SUCCESS/FAILED</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嵌入版本、向量键、权限字段和原子切换。</w:t>
            </w:r>
          </w:p>
        </w:tc>
      </w:tr>
      <w:tr>
        <w:tc>
          <w:tcPr>
            <w:tcW w:type="dxa" w:w="21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发布</w:t>
            </w:r>
          </w:p>
        </w:tc>
        <w:tc>
          <w:tcPr>
            <w:tcW w:type="dxa" w:w="35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ENABLED</w:t>
            </w:r>
          </w:p>
        </w:tc>
        <w:tc>
          <w:tcPr>
            <w:tcW w:type="dxa" w:w="38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抽样检索、引用打开、权限测试和版本确认。</w:t>
            </w:r>
          </w:p>
        </w:tc>
      </w:tr>
    </w:tbl>
    <w:p>
      <w:pPr>
        <w:spacing w:after="0"/>
      </w:pPr>
    </w:p>
    <w:p>
      <w:pPr>
        <w:pStyle w:val="Heading2"/>
      </w:pPr>
      <w:r>
        <w:t>分片策略</w:t>
      </w:r>
    </w:p>
    <w:p>
      <w:pPr>
        <w:pStyle w:val="ListBullet"/>
        <w:numPr>
          <w:ilvl w:val="0"/>
          <w:numId w:val="41"/>
        </w:numPr>
      </w:pPr>
      <w:r>
        <w:rPr>
          <w:rFonts w:ascii="Noto Sans" w:hAnsi="Noto Sans" w:eastAsia="Noto Sans SC Thin"/>
          <w:color w:val="25354A"/>
          <w:sz w:val="21"/>
        </w:rPr>
        <w:t>优先按标题和自然段切分，避免把条件与结论、问题与答案、表头与表体分离。</w:t>
      </w:r>
    </w:p>
    <w:p>
      <w:pPr>
        <w:pStyle w:val="ListBullet"/>
        <w:numPr>
          <w:ilvl w:val="0"/>
          <w:numId w:val="41"/>
        </w:numPr>
      </w:pPr>
      <w:r>
        <w:rPr>
          <w:rFonts w:ascii="Noto Sans" w:hAnsi="Noto Sans" w:eastAsia="Noto Sans SC Thin"/>
          <w:color w:val="25354A"/>
          <w:sz w:val="21"/>
        </w:rPr>
        <w:t>分片长度应兼顾语义完整和模型上下文；保留适度重叠但避免大量重复召回。</w:t>
      </w:r>
    </w:p>
    <w:p>
      <w:pPr>
        <w:pStyle w:val="ListBullet"/>
        <w:numPr>
          <w:ilvl w:val="0"/>
          <w:numId w:val="41"/>
        </w:numPr>
      </w:pPr>
      <w:r>
        <w:rPr>
          <w:rFonts w:ascii="Noto Sans" w:hAnsi="Noto Sans" w:eastAsia="Noto Sans SC Thin"/>
          <w:color w:val="25354A"/>
          <w:sz w:val="21"/>
        </w:rPr>
        <w:t>metadata_json至少可记录标题层级、段落位置、分类、版本、权限和解析器版本。</w:t>
      </w:r>
    </w:p>
    <w:p>
      <w:pPr>
        <w:pStyle w:val="ListBullet"/>
        <w:numPr>
          <w:ilvl w:val="0"/>
          <w:numId w:val="41"/>
        </w:numPr>
      </w:pPr>
      <w:r>
        <w:rPr>
          <w:rFonts w:ascii="Noto Sans" w:hAnsi="Noto Sans" w:eastAsia="Noto Sans SC Thin"/>
          <w:color w:val="25354A"/>
          <w:sz w:val="21"/>
        </w:rPr>
        <w:t>表格解析应保留列名与行语义，不能只拼接单元格造成字段关系丢失。</w:t>
      </w:r>
    </w:p>
    <w:p>
      <w:pPr>
        <w:pStyle w:val="Heading2"/>
      </w:pPr>
      <w:r>
        <w:t>回答与引用</w:t>
      </w:r>
    </w:p>
    <w:p>
      <w:pPr>
        <w:pStyle w:val="ListBullet"/>
        <w:numPr>
          <w:ilvl w:val="0"/>
          <w:numId w:val="41"/>
        </w:numPr>
      </w:pPr>
      <w:r>
        <w:rPr>
          <w:rFonts w:ascii="Noto Sans" w:hAnsi="Noto Sans" w:eastAsia="Noto Sans SC Thin"/>
          <w:color w:val="25354A"/>
          <w:sz w:val="21"/>
        </w:rPr>
        <w:t>模型回答前只使用通过权限过滤且状态启用的分片；缓存键包含permission_digest。</w:t>
      </w:r>
    </w:p>
    <w:p>
      <w:pPr>
        <w:pStyle w:val="ListBullet"/>
        <w:numPr>
          <w:ilvl w:val="0"/>
          <w:numId w:val="41"/>
        </w:numPr>
      </w:pPr>
      <w:r>
        <w:rPr>
          <w:rFonts w:ascii="Noto Sans" w:hAnsi="Noto Sans" w:eastAsia="Noto Sans SC Thin"/>
          <w:color w:val="25354A"/>
          <w:sz w:val="21"/>
        </w:rPr>
        <w:t>回答引用写入oa_ai_citation，保存source_type、source_id、chunk_id、标题快照、分数和来源版本。</w:t>
      </w:r>
    </w:p>
    <w:p>
      <w:pPr>
        <w:pStyle w:val="ListBullet"/>
        <w:numPr>
          <w:ilvl w:val="0"/>
          <w:numId w:val="41"/>
        </w:numPr>
      </w:pPr>
      <w:r>
        <w:rPr>
          <w:rFonts w:ascii="Noto Sans" w:hAnsi="Noto Sans" w:eastAsia="Noto Sans SC Thin"/>
          <w:color w:val="25354A"/>
          <w:sz w:val="21"/>
        </w:rPr>
        <w:t>引用分数用于排序和诊断，不对用户展示为确定性置信度。</w:t>
      </w:r>
    </w:p>
    <w:p>
      <w:pPr>
        <w:pStyle w:val="ListBullet"/>
        <w:numPr>
          <w:ilvl w:val="0"/>
          <w:numId w:val="41"/>
        </w:numPr>
      </w:pPr>
      <w:r>
        <w:rPr>
          <w:rFonts w:ascii="Noto Sans" w:hAnsi="Noto Sans" w:eastAsia="Noto Sans SC Thin"/>
          <w:color w:val="25354A"/>
          <w:sz w:val="21"/>
        </w:rPr>
        <w:t>证据不足时回答应说明无法确认并引导用户查看原文或联系责任部门，不编造制度。</w:t>
      </w:r>
    </w:p>
    <w:p>
      <w:pPr>
        <w:pStyle w:val="Heading1"/>
      </w:pPr>
      <w:r>
        <w:t>测试、交付与质量门禁</w:t>
      </w:r>
    </w:p>
    <w:p>
      <w:pPr>
        <w:jc w:val="both"/>
      </w:pPr>
      <w:r>
        <w:t>质量门禁应覆盖功能、权限、数据、性能和可回退性，而不是只验证页面能够打开。</w:t>
      </w:r>
    </w:p>
    <w:p>
      <w:pPr>
        <w:pStyle w:val="Heading2"/>
      </w:pPr>
      <w:r>
        <w:t>测试分层</w:t>
      </w:r>
    </w:p>
    <w:p>
      <w:pPr>
        <w:pStyle w:val="ListBullet"/>
        <w:numPr>
          <w:ilvl w:val="0"/>
          <w:numId w:val="41"/>
        </w:numPr>
      </w:pPr>
      <w:r>
        <w:rPr>
          <w:rFonts w:ascii="Noto Sans" w:hAnsi="Noto Sans" w:eastAsia="Noto Sans SC Thin"/>
          <w:color w:val="25354A"/>
          <w:sz w:val="21"/>
        </w:rPr>
        <w:t>单元测试覆盖核心规则、边界和异常；集成测试覆盖数据库、缓存、文件、消息和外部适配。</w:t>
      </w:r>
    </w:p>
    <w:p>
      <w:pPr>
        <w:pStyle w:val="ListBullet"/>
        <w:numPr>
          <w:ilvl w:val="0"/>
          <w:numId w:val="41"/>
        </w:numPr>
      </w:pPr>
      <w:r>
        <w:rPr>
          <w:rFonts w:ascii="Noto Sans" w:hAnsi="Noto Sans" w:eastAsia="Noto Sans SC Thin"/>
          <w:color w:val="25354A"/>
          <w:sz w:val="21"/>
        </w:rPr>
        <w:t>接口测试覆盖认证、权限、幂等、分页、并发和错误码；前端测试覆盖关键交互和表单校验。</w:t>
      </w:r>
    </w:p>
    <w:p>
      <w:pPr>
        <w:pStyle w:val="ListBullet"/>
        <w:numPr>
          <w:ilvl w:val="0"/>
          <w:numId w:val="41"/>
        </w:numPr>
      </w:pPr>
      <w:r>
        <w:rPr>
          <w:rFonts w:ascii="Noto Sans" w:hAnsi="Noto Sans" w:eastAsia="Noto Sans SC Thin"/>
          <w:color w:val="25354A"/>
          <w:sz w:val="21"/>
        </w:rPr>
        <w:t>RAG测试包括标准问题集、无答案问题、跨部门越权、禁用来源、版本切换和引用正确性。</w:t>
      </w:r>
    </w:p>
    <w:p>
      <w:pPr>
        <w:pStyle w:val="ListBullet"/>
        <w:numPr>
          <w:ilvl w:val="0"/>
          <w:numId w:val="41"/>
        </w:numPr>
      </w:pPr>
      <w:r>
        <w:rPr>
          <w:rFonts w:ascii="Noto Sans" w:hAnsi="Noto Sans" w:eastAsia="Noto Sans SC Thin"/>
          <w:color w:val="25354A"/>
          <w:sz w:val="21"/>
        </w:rPr>
        <w:t>回归测试优先覆盖高频、高影响和近期故障路径。</w:t>
      </w:r>
    </w:p>
    <w:p>
      <w:pPr>
        <w:pStyle w:val="Heading2"/>
      </w:pPr>
      <w:r>
        <w:t>发布前检查</w:t>
      </w:r>
    </w:p>
    <w:p>
      <w:pPr>
        <w:pStyle w:val="ListBullet"/>
        <w:numPr>
          <w:ilvl w:val="0"/>
          <w:numId w:val="41"/>
        </w:numPr>
      </w:pPr>
      <w:r>
        <w:rPr>
          <w:rFonts w:ascii="Noto Sans" w:hAnsi="Noto Sans" w:eastAsia="Noto Sans SC Thin"/>
          <w:color w:val="25354A"/>
          <w:sz w:val="21"/>
        </w:rPr>
        <w:t>需求与验收口径已确认，合并请求通过评审，自动化检查和关键回归通过。</w:t>
      </w:r>
    </w:p>
    <w:p>
      <w:pPr>
        <w:pStyle w:val="ListBullet"/>
        <w:numPr>
          <w:ilvl w:val="0"/>
          <w:numId w:val="41"/>
        </w:numPr>
      </w:pPr>
      <w:r>
        <w:rPr>
          <w:rFonts w:ascii="Noto Sans" w:hAnsi="Noto Sans" w:eastAsia="Noto Sans SC Thin"/>
          <w:color w:val="25354A"/>
          <w:sz w:val="21"/>
        </w:rPr>
        <w:t>配置、数据库迁移、依赖、容量、监控、告警、备份和回退方案准备完成。</w:t>
      </w:r>
    </w:p>
    <w:p>
      <w:pPr>
        <w:pStyle w:val="ListBullet"/>
        <w:numPr>
          <w:ilvl w:val="0"/>
          <w:numId w:val="41"/>
        </w:numPr>
      </w:pPr>
      <w:r>
        <w:rPr>
          <w:rFonts w:ascii="Noto Sans" w:hAnsi="Noto Sans" w:eastAsia="Noto Sans SC Thin"/>
          <w:color w:val="25354A"/>
          <w:sz w:val="21"/>
        </w:rPr>
        <w:t>生产参数不写入代码包；配置变更经过授权且可追溯。</w:t>
      </w:r>
    </w:p>
    <w:p>
      <w:pPr>
        <w:pStyle w:val="ListBullet"/>
        <w:numPr>
          <w:ilvl w:val="0"/>
          <w:numId w:val="41"/>
        </w:numPr>
      </w:pPr>
      <w:r>
        <w:rPr>
          <w:rFonts w:ascii="Noto Sans" w:hAnsi="Noto Sans" w:eastAsia="Noto Sans SC Thin"/>
          <w:color w:val="25354A"/>
          <w:sz w:val="21"/>
        </w:rPr>
        <w:t>发布窗口、负责人、观察指标和失败判定明确，相关方收到通知。</w:t>
      </w:r>
    </w:p>
    <w:p>
      <w:pPr>
        <w:pStyle w:val="Heading2"/>
      </w:pPr>
      <w:r>
        <w:t>完成定义</w:t>
      </w:r>
    </w:p>
    <w:p>
      <w:pPr>
        <w:jc w:val="both"/>
      </w:pPr>
      <w:r>
        <w:t>任务完成至少包括代码或配置已合并、测试证据可查、文档与接口说明更新、监控可用、风险已处理或接受、产品或责任人按验收标准确认。仅“开发完成”不等于“可交付”。</w:t>
      </w:r>
    </w:p>
    <w:p>
      <w:pPr>
        <w:pStyle w:val="Heading1"/>
      </w:pPr>
      <w:r>
        <w:t>常见问题</w:t>
      </w:r>
    </w:p>
    <w:p>
      <w:pPr>
        <w:pStyle w:val="Heading2"/>
      </w:pPr>
      <w:r>
        <w:t>问：为什么企业知识检索必须先做权限过滤？</w:t>
      </w:r>
    </w:p>
    <w:p>
      <w:pPr>
        <w:jc w:val="both"/>
      </w:pPr>
      <w:r>
        <w:t>答：向量相似度只能说明内容相关，不能说明用户有权访问。若先全库召回再在回答层过滤，标题、片段或缓存仍可能泄露，因此应在召回前或检索条件中实施来源级权限约束。</w:t>
      </w:r>
    </w:p>
    <w:p>
      <w:pPr>
        <w:pStyle w:val="Heading2"/>
      </w:pPr>
      <w:r>
        <w:t>问：RAG文件更新后可以直接覆盖旧向量吗？</w:t>
      </w:r>
    </w:p>
    <w:p>
      <w:pPr>
        <w:jc w:val="both"/>
      </w:pPr>
      <w:r>
        <w:t>答：不建议边删边写。应生成新版本分片和索引，验证成功后原子切换可用版本，再异步清理旧记录，避免用户检索到不完整状态。</w:t>
      </w:r>
    </w:p>
    <w:p>
      <w:pPr>
        <w:pStyle w:val="Heading2"/>
      </w:pPr>
      <w:r>
        <w:t>问：接口返回200但业务码失败是否可以？</w:t>
      </w:r>
    </w:p>
    <w:p>
      <w:pPr>
        <w:jc w:val="both"/>
      </w:pPr>
      <w:r>
        <w:t>答：技术上可以但不推荐滥用。HTTP状态应尽量反映认证、授权、参数、资源和服务器错误，业务码补充领域细节，便于网关、监控和客户端正确处理。</w:t>
      </w:r>
    </w:p>
    <w:p>
      <w:pPr>
        <w:pStyle w:val="Heading2"/>
      </w:pPr>
      <w:r>
        <w:t>问：可以在日志中记录完整AI提示词用于排障吗？</w:t>
      </w:r>
    </w:p>
    <w:p>
      <w:pPr>
        <w:jc w:val="both"/>
      </w:pPr>
      <w:r>
        <w:t>答：默认不记录含用户原文和检索全文的完整提示。应记录追踪ID、模板版本、模型、耗时、Token、来源ID和脱敏摘要；确需采样时必须受控、最小化并设置保留期。</w:t>
      </w:r>
    </w:p>
    <w:p>
      <w:pPr>
        <w:pStyle w:val="Heading2"/>
      </w:pPr>
      <w:r>
        <w:t>问：紧急修复可以跳过评审吗？</w:t>
      </w:r>
    </w:p>
    <w:p>
      <w:pPr>
        <w:jc w:val="both"/>
      </w:pPr>
      <w:r>
        <w:t>答：只能按正式应急变更机制缩短流程，仍需授权、最小变更、验证、监控和回退，并在事后规定时限内补齐评审与复盘。</w:t>
      </w:r>
    </w:p>
    <w:p>
      <w:pPr>
        <w:pStyle w:val="Heading1"/>
      </w:pPr>
      <w:r>
        <w:t>检索关键词</w:t>
      </w:r>
    </w:p>
    <w:p>
      <w:pPr>
        <w:spacing w:after="160"/>
      </w:pPr>
      <w:r>
        <w:t>Spring Boot、Vue、MySQL、Nacos、RedisStack、Elasticsearch、Spring AI、Git、接口规范、权限、RAG、分片、向量索引、引用、测试、发布</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411"/>
      </w:tblGrid>
      <w:tr>
        <w:tc>
          <w:tcPr>
            <w:tcW w:type="dxa" w:w="9411"/>
            <w:tcMar>
              <w:top w:w="90" w:type="dxa"/>
              <w:start w:w="120" w:type="dxa"/>
              <w:bottom w:w="90" w:type="dxa"/>
              <w:end w:w="120" w:type="dxa"/>
            </w:tcMar>
            <w:vAlign w:val="center"/>
            <w:shd w:fill="E8EEF5"/>
          </w:tcPr>
          <w:p>
            <w:pPr>
              <w:spacing w:before="40" w:after="40" w:line="288" w:lineRule="auto"/>
            </w:pPr>
            <w:r>
              <w:rPr>
                <w:rFonts w:ascii="Noto Sans" w:hAnsi="Noto Sans" w:eastAsia="Noto Sans SC Thin"/>
                <w:color w:val="25354A"/>
                <w:sz w:val="19"/>
              </w:rPr>
              <w:t>建议分片：优先按“一级标题 → 二级标题”切分；单个主题过长时再按自然段切分，并在metadata_json中保留category、section_title、access_scope、min_role_level、version与关键词。</w:t>
            </w:r>
          </w:p>
        </w:tc>
      </w:tr>
    </w:tbl>
    <w:p>
      <w:pPr>
        <w:pStyle w:val="Heading1"/>
      </w:pPr>
      <w:r>
        <w:t>依据与参考</w:t>
      </w:r>
    </w:p>
    <w:p>
      <w:pPr>
        <w:pStyle w:val="ListBullet"/>
        <w:numPr>
          <w:ilvl w:val="0"/>
          <w:numId w:val="41"/>
        </w:numPr>
      </w:pPr>
      <w:r>
        <w:rPr>
          <w:rFonts w:ascii="Noto Sans" w:hAnsi="Noto Sans" w:eastAsia="Noto Sans SC Thin"/>
          <w:color w:val="667085"/>
          <w:sz w:val="18"/>
        </w:rPr>
        <w:t>修改后的《中华人民共和国网络安全法》（2026-01-01起施行）：https://www.cac.gov.cn/2025-12/29/c_1768735112911946.htm</w:t>
      </w:r>
    </w:p>
    <w:p>
      <w:pPr>
        <w:pStyle w:val="ListBullet"/>
        <w:numPr>
          <w:ilvl w:val="0"/>
          <w:numId w:val="41"/>
        </w:numPr>
      </w:pPr>
      <w:r>
        <w:rPr>
          <w:rFonts w:ascii="Noto Sans" w:hAnsi="Noto Sans" w:eastAsia="Noto Sans SC Thin"/>
          <w:color w:val="667085"/>
          <w:sz w:val="18"/>
        </w:rPr>
        <w:t>《中华人民共和国个人信息保护法》发布说明：https://www.npc.gov.cn/c2/c30834/202108/t20210823_313130.html</w:t>
      </w:r>
    </w:p>
    <w:p>
      <w:pPr>
        <w:pStyle w:val="ListBullet"/>
        <w:numPr>
          <w:ilvl w:val="0"/>
          <w:numId w:val="41"/>
        </w:numPr>
      </w:pPr>
      <w:r>
        <w:rPr>
          <w:rFonts w:ascii="Noto Sans" w:hAnsi="Noto Sans" w:eastAsia="Noto Sans SC Thin"/>
          <w:color w:val="667085"/>
          <w:sz w:val="18"/>
        </w:rPr>
        <w:t>《中华人民共和国数据安全法》权威发布目录：https://www.npc.gov.cn/c2/c12435/c16265/index_47.html</w:t>
      </w:r>
    </w:p>
    <w:p>
      <w:pPr>
        <w:pStyle w:val="Heading1"/>
      </w:pPr>
      <w:r>
        <w:t>版本与维护</w:t>
      </w:r>
    </w:p>
    <w:tbl>
      <w:tblPr>
        <w:tblW w:type="dxa" w:w="9411"/>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1600"/>
        <w:gridCol w:w="2400"/>
        <w:gridCol w:w="2700"/>
        <w:gridCol w:w="2711"/>
      </w:tblGrid>
      <w:tr>
        <w:tc>
          <w:tcPr>
            <w:tcW w:type="dxa" w:w="16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版本</w:t>
            </w:r>
          </w:p>
        </w:tc>
        <w:tc>
          <w:tcPr>
            <w:tcW w:type="dxa" w:w="24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日期</w:t>
            </w:r>
          </w:p>
        </w:tc>
        <w:tc>
          <w:tcPr>
            <w:tcW w:type="dxa" w:w="2700"/>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维护部门</w:t>
            </w:r>
          </w:p>
        </w:tc>
        <w:tc>
          <w:tcPr>
            <w:tcW w:type="dxa" w:w="2711"/>
            <w:tcMar>
              <w:top w:w="90" w:type="dxa"/>
              <w:start w:w="120" w:type="dxa"/>
              <w:bottom w:w="90" w:type="dxa"/>
              <w:end w:w="120" w:type="dxa"/>
            </w:tcMar>
            <w:vAlign w:val="center"/>
            <w:shd w:fill="E8EEF5"/>
          </w:tcPr>
          <w:p>
            <w:pPr>
              <w:spacing w:before="0" w:after="0" w:line="276" w:lineRule="auto"/>
              <w:jc w:val="left"/>
            </w:pPr>
            <w:r>
              <w:rPr>
                <w:rFonts w:ascii="Noto Sans" w:hAnsi="Noto Sans" w:eastAsia="Noto Sans SC Thin"/>
                <w:b/>
                <w:color w:val="17365D"/>
                <w:sz w:val="18"/>
              </w:rPr>
              <w:t>说明</w:t>
            </w:r>
          </w:p>
        </w:tc>
      </w:tr>
      <w:tr>
        <w:tc>
          <w:tcPr>
            <w:tcW w:type="dxa" w:w="16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V1.0</w:t>
            </w:r>
          </w:p>
        </w:tc>
        <w:tc>
          <w:tcPr>
            <w:tcW w:type="dxa" w:w="24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2026-07-21</w:t>
            </w:r>
          </w:p>
        </w:tc>
        <w:tc>
          <w:tcPr>
            <w:tcW w:type="dxa" w:w="2700"/>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技术部</w:t>
            </w:r>
          </w:p>
        </w:tc>
        <w:tc>
          <w:tcPr>
            <w:tcW w:type="dxa" w:w="2711"/>
            <w:tcMar>
              <w:top w:w="90" w:type="dxa"/>
              <w:start w:w="120" w:type="dxa"/>
              <w:bottom w:w="90" w:type="dxa"/>
              <w:end w:w="120" w:type="dxa"/>
            </w:tcMar>
            <w:vAlign w:val="center"/>
          </w:tcPr>
          <w:p>
            <w:pPr>
              <w:spacing w:before="0" w:after="0" w:line="276" w:lineRule="auto"/>
              <w:jc w:val="left"/>
            </w:pPr>
            <w:r>
              <w:rPr>
                <w:rFonts w:ascii="Noto Sans" w:hAnsi="Noto Sans" w:eastAsia="Noto Sans SC Thin"/>
                <w:b w:val="0"/>
                <w:color w:val="25354A"/>
                <w:sz w:val="18"/>
              </w:rPr>
              <w:t>根据RAG知识来源表结构生成示例初版，待企业审核后生效。</w:t>
            </w:r>
          </w:p>
        </w:tc>
      </w:tr>
    </w:tbl>
    <w:p>
      <w:pPr>
        <w:spacing w:after="0"/>
      </w:pPr>
    </w:p>
    <w:sectPr w:rsidR="00FC693F" w:rsidRPr="0006063C" w:rsidSect="00034616">
      <w:headerReference w:type="default" r:id="rId9"/>
      <w:footerReference w:type="default" r:id="rId10"/>
      <w:pgSz w:w="11906" w:h="16838"/>
      <w:pgMar w:top="1247"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411"/>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500"/>
      <w:gridCol w:w="2911"/>
    </w:tblGrid>
    <w:tr>
      <w:tc>
        <w:tcPr>
          <w:tcW w:type="dxa" w:w="6500"/>
          <w:tcMar>
            <w:top w:w="90" w:type="dxa"/>
            <w:start w:w="120" w:type="dxa"/>
            <w:bottom w:w="90" w:type="dxa"/>
            <w:end w:w="120" w:type="dxa"/>
          </w:tcMar>
          <w:vAlign w:val="center"/>
        </w:tcPr>
        <w:p>
          <w:r>
            <w:rPr>
              <w:rFonts w:ascii="Noto Sans" w:hAnsi="Noto Sans" w:eastAsia="Noto Sans SC Thin"/>
              <w:color w:val="667085"/>
              <w:sz w:val="16"/>
            </w:rPr>
            <w:t>内部知识资料 · 示例版</w:t>
          </w:r>
        </w:p>
      </w:tc>
      <w:tc>
        <w:tcPr>
          <w:tcW w:type="dxa" w:w="2911"/>
          <w:tcMar>
            <w:top w:w="90" w:type="dxa"/>
            <w:start w:w="120" w:type="dxa"/>
            <w:bottom w:w="90" w:type="dxa"/>
            <w:end w:w="120" w:type="dxa"/>
          </w:tcMar>
          <w:vAlign w:val="center"/>
        </w:tcPr>
        <w:p>
          <w:pPr>
            <w:jc w:val="right"/>
          </w:pPr>
          <w:r>
            <w:rPr>
              <w:rFonts w:ascii="Noto Sans" w:hAnsi="Noto Sans" w:eastAsia="Noto Sans SC Thin"/>
              <w:color w:val="667085"/>
              <w:sz w:val="16"/>
            </w:rPr>
            <w:t xml:space="preserve">第 </w:t>
          </w:r>
          <w:r>
            <w:rPr>
              <w:rFonts w:ascii="Noto Sans" w:hAnsi="Noto Sans" w:eastAsia="Noto Sans SC Thin"/>
              <w:color w:val="667085"/>
              <w:sz w:val="17"/>
            </w:rPr>
            <w:fldChar w:fldCharType="begin"/>
            <w:instrText xml:space="preserve"> PAGE </w:instrText>
            <w:fldChar w:fldCharType="separate"/>
            <w:t>1</w:t>
            <w:fldChar w:fldCharType="end"/>
          </w:r>
          <w:r>
            <w:rPr>
              <w:rFonts w:ascii="Noto Sans" w:hAnsi="Noto Sans" w:eastAsia="Noto Sans SC Thin"/>
              <w:color w:val="667085"/>
              <w:sz w:val="16"/>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5DDE5"/>
      </w:pBdr>
    </w:pPr>
    <w:r>
      <w:rPr>
        <w:rFonts w:ascii="Noto Sans" w:hAnsi="Noto Sans" w:eastAsia="Noto Sans SC Thin"/>
        <w:b/>
        <w:color w:val="667085"/>
        <w:sz w:val="17"/>
      </w:rPr>
      <w:t>智办企业知识库  /  技术部资料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pPr>
      <w:rPr>
        <w:rFonts w:ascii="Noto Sans" w:hAnsi="Noto Sans" w:eastAsia="Noto Sans SC Thin"/>
      </w:rPr>
    </w:lvl>
  </w:abstractNum>
  <w:num w:numId="41">
    <w:abstractNumId w:val="41"/>
  </w:num>
  <w:abstractNum w:abstractNumId="42">
    <w:multiLevelType w:val="singleLevel"/>
    <w:lvl w:ilvl="0">
      <w:start w:val="1"/>
      <w:numFmt w:val="decimal"/>
      <w:lvlText w:val="%1."/>
      <w:suff w:val="tab"/>
      <w:pPr>
        <w:tabs>
          <w:tab w:val="num" w:pos="540"/>
        </w:tabs>
        <w:ind w:left="540" w:hanging="270"/>
      </w:pPr>
      <w:rPr>
        <w:rFonts w:ascii="Noto Sans" w:hAnsi="Noto Sans" w:eastAsia="Noto Sans SC Thin"/>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ans" w:hAnsi="Noto Sans" w:eastAsia="Noto Sans SC Thi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Noto Sans SC Thi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Noto Sans SC Thi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SC Thin"/>
      <w:b/>
      <w:bCs/>
      <w:color w:val="1F6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Noto Sans" w:hAnsi="Noto Sans" w:eastAsia="Noto Sans SC Thi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Noto Sans" w:hAnsi="Noto Sans" w:eastAsia="Noto Sans SC Thi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技术部软件开发与交付规范</dc:title>
  <dc:subject>RAG企业知识库 · 技术部资料</dc:subject>
  <dc:creator>智办科技有限公司</dc:creator>
  <cp:keywords>RAG, 企业知识, 技术部资料, 智办AI OA</cp:keywords>
  <dc:description>根据更新.sql中的oa_ai_source与oa_ai_source_chunk结构生成的示例知识文档。</dc:description>
  <cp:lastModifiedBy/>
  <cp:revision>1</cp:revision>
  <dcterms:created xsi:type="dcterms:W3CDTF">2013-12-23T23:15:00Z</dcterms:created>
  <dcterms:modified xsi:type="dcterms:W3CDTF">2013-12-23T23:15:00Z</dcterms:modified>
  <cp:category>技术部资料</cp:category>
</cp:coreProperties>
</file>