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Noto Sans" w:hAnsi="Noto Sans" w:eastAsia="Noto Sans SC Thin"/>
          <w:b/>
          <w:color w:val="1F6D7A"/>
          <w:sz w:val="22"/>
        </w:rPr>
        <w:t>RAG 企业知识库  ·  技术部资料</w:t>
      </w:r>
    </w:p>
    <w:p>
      <w:pPr>
        <w:spacing w:before="160" w:after="200"/>
      </w:pPr>
      <w:r>
        <w:rPr>
          <w:rFonts w:ascii="Noto Sans" w:hAnsi="Noto Sans" w:eastAsia="Noto Sans SC Thin"/>
          <w:b/>
          <w:color w:val="17365D"/>
          <w:sz w:val="54"/>
        </w:rPr>
        <w:t>技术部生产运维与应急响应手册</w:t>
      </w:r>
    </w:p>
    <w:p>
      <w:pPr>
        <w:spacing w:after="360"/>
      </w:pPr>
      <w:r>
        <w:rPr>
          <w:rFonts w:ascii="Noto Sans" w:hAnsi="Noto Sans" w:eastAsia="Noto Sans SC Thin"/>
          <w:color w:val="667085"/>
          <w:sz w:val="22"/>
        </w:rPr>
        <w:t>规定生产访问、发布变更、监控告警、备份恢复和安全事件响应的管理原则与操作框架。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500"/>
        <w:gridCol w:w="6911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知识标题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技术部生产运维与应急响应手册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category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技术部资料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description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规定生产访问、发布变更、监控告警、备份恢复和安全事件响应的管理原则与操作框架。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适用对象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技术部经理、运维负责人、发布负责人及授权应急人员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责任部门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技术部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access_scope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DEPARTMENT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access_department_id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技术部ID（部署时填写BIGINT）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min_role_level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2（部门经理及以上）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status / version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ENABLED / V1.0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编制日期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2026年7月21日</w:t>
            </w:r>
          </w:p>
        </w:tc>
      </w:tr>
    </w:tbl>
    <w:p>
      <w:pPr>
        <w:spacing w:before="280" w:after="80"/>
      </w:pPr>
      <w:r>
        <w:rPr>
          <w:rFonts w:ascii="Noto Sans" w:hAnsi="Noto Sans" w:eastAsia="Noto Sans SC Thin"/>
          <w:b/>
          <w:color w:val="2E74B5"/>
          <w:sz w:val="23"/>
        </w:rPr>
        <w:t>使用提示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本文件是面向智办AI OA演示环境的企业知识示例，可用于Word上传、全文解析、按标题分片和向量检索。正式发布前应由责任部门审核公司名称、金额标准、部门编号、审批节点和地域性规则；系统生成的文件路径、大小、哈希、解析状态和索引状态不写入正文。</w:t>
            </w:r>
          </w:p>
        </w:tc>
      </w:tr>
    </w:tbl>
    <w:p>
      <w:r>
        <w:br w:type="page"/>
      </w:r>
    </w:p>
    <w:p>
      <w:pPr>
        <w:pStyle w:val="Heading1"/>
      </w:pPr>
      <w:r>
        <w:t>文档目的与适用边界</w:t>
      </w:r>
    </w:p>
    <w:p>
      <w:pPr>
        <w:jc w:val="both"/>
      </w:pPr>
      <w:r>
        <w:t>本手册描述生产运维的职责、控制点和应急流程，不写入真实主机地址、账号、口令、密钥、数据库连接、云资源标识或客户数据。实际操作参数应保存在受控配置和密码管理系统中。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检索边界：本知识文档只回答通用制度和操作原则，不存放账号口令、密钥、银行账号、未公开个人信息、客户商业秘密或具体案件材料。遇到审批冲突时，以OA中已生效的制度版本和授权记录为准。</w:t>
            </w:r>
          </w:p>
        </w:tc>
      </w:tr>
    </w:tbl>
    <w:p>
      <w:pPr>
        <w:pStyle w:val="Heading1"/>
      </w:pPr>
      <w:r>
        <w:t>知识目录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生产访问与职责分离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变更与发布管理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监控、告警与容量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故障与安全事件响应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备份、恢复与业务连续性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复盘与持续改进</w:t>
      </w:r>
    </w:p>
    <w:p>
      <w:pPr>
        <w:pStyle w:val="Heading1"/>
      </w:pPr>
      <w:r>
        <w:t>生产访问与职责分离</w:t>
      </w:r>
    </w:p>
    <w:p>
      <w:pPr>
        <w:jc w:val="both"/>
      </w:pPr>
      <w:r>
        <w:t>生产权限是临时、最小、可审计的高风险权限。开发便利不能成为长期保留权限的理由。</w:t>
      </w:r>
    </w:p>
    <w:p>
      <w:pPr>
        <w:pStyle w:val="Heading2"/>
      </w:pPr>
      <w:r>
        <w:t>生产权限原则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按岗位和任务申请，明确系统、环境、操作范围、原因、时段、审批人和到期时间。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个人账号实名使用，禁止共享；特权账号启用多因素认证并由专门系统托管。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查询、变更、审批与审计尽量职责分离，高风险操作至少双人复核。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权限到期、转岗、离职或任务完成后自动或及时回收，并定期复核存量权限。</w:t>
      </w:r>
    </w:p>
    <w:p>
      <w:pPr>
        <w:pStyle w:val="Heading2"/>
      </w:pPr>
      <w:r>
        <w:t>禁止事项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未经授权下载生产数据库、客户附件或日志到个人设备。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在聊天、工单、代码仓库和知识文档中粘贴口令、Token、私钥或完整连接串。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绕过堡垒机、审批、审计或发布平台直接操作生产资源。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在没有备份、验证和回退路径时执行不可逆批量删除或结构变更。</w:t>
      </w:r>
    </w:p>
    <w:p>
      <w:pPr>
        <w:pStyle w:val="Heading1"/>
      </w:pPr>
      <w:r>
        <w:t>变更与发布管理</w:t>
      </w:r>
    </w:p>
    <w:p>
      <w:pPr>
        <w:jc w:val="both"/>
      </w:pPr>
      <w:r>
        <w:t>每次生产变更都应回答：为什么改、改什么、谁授权、如何验证、何时回退。</w:t>
      </w:r>
    </w:p>
    <w:p>
      <w:pPr>
        <w:pStyle w:val="Heading2"/>
      </w:pPr>
      <w:r>
        <w:t>变更分级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100"/>
        <w:gridCol w:w="3500"/>
        <w:gridCol w:w="3811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级别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示例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控制要求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标准变更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重复且低风险的例行操作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使用预批准模板，执行前核对条件并保留结果。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一般变更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常规版本、配置或数据库变更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完整评审、测试、窗口、监控和回退。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重大变更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架构迁移、大表处理、权限模型调整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专项方案、演练、多方审批和业务保障。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紧急变更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故障止损或高危漏洞修复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应急授权、最小修改、实时监控、事后补审与复盘。</w:t>
            </w:r>
          </w:p>
        </w:tc>
      </w:tr>
    </w:tbl>
    <w:p>
      <w:pPr>
        <w:spacing w:after="0"/>
      </w:pPr>
    </w:p>
    <w:p>
      <w:pPr>
        <w:pStyle w:val="Heading2"/>
      </w:pPr>
      <w:r>
        <w:t>发布步骤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发布前确认构建物唯一、版本可追溯、配置和迁移脚本已验证。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执行前保存关键状态与备份，冻结无关变更，确认值守和业务联系人在线。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优先灰度或分批发布，持续观察错误率、延迟、资源、关键业务成功率和日志异常。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达到失败阈值立即停止扩大并按预案回退，不在压力下连续叠加未验证修复。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发布后完成业务验证、监控观察、记录归档和相关方通知。</w:t>
      </w:r>
    </w:p>
    <w:p>
      <w:pPr>
        <w:pStyle w:val="Heading1"/>
      </w:pPr>
      <w:r>
        <w:t>监控、告警与容量</w:t>
      </w:r>
    </w:p>
    <w:p>
      <w:pPr>
        <w:jc w:val="both"/>
      </w:pPr>
      <w:r>
        <w:t>监控应覆盖用户体验、业务结果、应用健康和基础资源。没有责任人和处置动作的告警不构成有效告警。</w:t>
      </w:r>
    </w:p>
    <w:p>
      <w:pPr>
        <w:pStyle w:val="Heading2"/>
      </w:pPr>
      <w:r>
        <w:t>监控四层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业务层：登录、审批、公告访问、文件上传、知识解析、AI回答成功率和引用可用率。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应用层：请求量、错误率、延迟、线程池、连接池、任务队列和外部调用。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数据层：MySQL连接、慢查询、复制与磁盘；Redis内存、命中率、延迟和逐出；向量索引状态。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基础层：CPU、内存、磁盘、网络、证书、容器或进程存活。</w:t>
      </w:r>
    </w:p>
    <w:p>
      <w:pPr>
        <w:pStyle w:val="Heading2"/>
      </w:pPr>
      <w:r>
        <w:t>告警治理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告警包含系统、环境、指标、阈值、开始时间、影响和处置手册链接。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按紧急程度设置通知与升级路径；重复告警聚合，避免告警风暴掩盖核心问题。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阈值依据历史基线和业务目标调整，定期清理无动作、误报或无人负责的告警。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容量评估关注增长趋势和峰值，提前规划存储、连接、缓存、模型配额和成本。</w:t>
      </w:r>
    </w:p>
    <w:p>
      <w:pPr>
        <w:pStyle w:val="Heading1"/>
      </w:pPr>
      <w:r>
        <w:t>故障与安全事件响应</w:t>
      </w:r>
    </w:p>
    <w:p>
      <w:pPr>
        <w:jc w:val="both"/>
      </w:pPr>
      <w:r>
        <w:t>事件处置优先保护人员、数据和业务连续性。先止损与保留证据，再做根因分析。</w:t>
      </w:r>
    </w:p>
    <w:p>
      <w:pPr>
        <w:pStyle w:val="Heading2"/>
      </w:pPr>
      <w:r>
        <w:t>事件级别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100"/>
        <w:gridCol w:w="3500"/>
        <w:gridCol w:w="3811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级别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判断示例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响应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P1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核心业务大面积不可用、重大数据泄露或资金风险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立即响应，统一指挥，持续通报管理层和相关责任部门。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P2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关键功能受影响且无完全替代方案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快速响应，限定时间恢复或降级，安排专人沟通。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P3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局部影响、有替代方案或一般性能下降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在约定时限处理并记录，必要时安排版本修复。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P4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轻微缺陷或观察项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进入常规缺陷和改进流程。</w:t>
            </w:r>
          </w:p>
        </w:tc>
      </w:tr>
    </w:tbl>
    <w:p>
      <w:pPr>
        <w:spacing w:after="0"/>
      </w:pPr>
    </w:p>
    <w:p>
      <w:pPr>
        <w:pStyle w:val="Heading2"/>
      </w:pPr>
      <w:r>
        <w:t>标准响应流程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发现与确认：记录时间、现象、范围、最近变更和证据，排除误报。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分级与指挥：指定事件负责人、技术负责人、沟通负责人和记录人。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遏制与恢复：限流、降级、隔离、回退或切换，避免未经验证的多点修改。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通知与合规：按影响通知业务、客户、管理层、安全、法务或监管联络人。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根因与复盘：区分触发原因、根本原因和放大因素，形成有负责人和截止时间的改进。</w:t>
      </w:r>
    </w:p>
    <w:p>
      <w:pPr>
        <w:pStyle w:val="Heading2"/>
      </w:pPr>
      <w:r>
        <w:t>数据泄露特别处理</w:t>
      </w:r>
    </w:p>
    <w:p>
      <w:pPr>
        <w:jc w:val="both"/>
      </w:pPr>
      <w:r>
        <w:t>立即停止继续暴露，撤销泄露凭证或链接，控制下载和传播，保留日志与时间线，不擅自删除证据。由安全、法务和管理层评估个人信息、客户合同及报告义务。对外说明必须统一、准确并经授权。</w:t>
      </w:r>
    </w:p>
    <w:p>
      <w:pPr>
        <w:pStyle w:val="Heading1"/>
      </w:pPr>
      <w:r>
        <w:t>备份、恢复与业务连续性</w:t>
      </w:r>
    </w:p>
    <w:p>
      <w:pPr>
        <w:jc w:val="both"/>
      </w:pPr>
      <w:r>
        <w:t>备份的价值由可恢复性决定。仅看到备份任务成功不等于能够恢复业务。</w:t>
      </w:r>
    </w:p>
    <w:p>
      <w:pPr>
        <w:pStyle w:val="Heading2"/>
      </w:pPr>
      <w:r>
        <w:t>备份策略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根据数据重要性设置频率、保留期、异地或隔离副本，并控制备份访问。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覆盖数据库、对象文件、关键配置、证书与必要索引重建信息；缓存通常不作为唯一备份对象。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备份加密、完整性校验并监控失败；防止生产账号可直接删除全部备份。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定期恢复演练，记录恢复点目标、恢复时间目标、步骤、耗时和问题。</w:t>
      </w:r>
    </w:p>
    <w:p>
      <w:pPr>
        <w:pStyle w:val="Heading2"/>
      </w:pPr>
      <w:r>
        <w:t>RAG恢复要点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oa_ai_source及其权限、版本、状态和文件元数据需要一致恢复。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原始受控文件和extracted_text是重建分片的重要依据，应验证完整性。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向量索引可从启用来源与分片重建，但重建期间应明确降级策略和可见性。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恢复后抽样验证权限隔离、来源版本、引用打开和禁用文档不被召回。</w:t>
      </w:r>
    </w:p>
    <w:p>
      <w:pPr>
        <w:pStyle w:val="Heading1"/>
      </w:pPr>
      <w:r>
        <w:t>复盘与持续改进</w:t>
      </w:r>
    </w:p>
    <w:p>
      <w:pPr>
        <w:jc w:val="both"/>
      </w:pPr>
      <w:r>
        <w:t>复盘的目的不是寻找替罪者，而是提高系统和组织对同类风险的抵抗力。</w:t>
      </w:r>
    </w:p>
    <w:p>
      <w:pPr>
        <w:pStyle w:val="Heading2"/>
      </w:pPr>
      <w:r>
        <w:t>复盘内容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事实时间线、影响范围、发现方式、处置动作和恢复时间。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根因、触发条件、为何未提前发现、哪些控制未生效。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做得好的地方、增加恢复时间的因素和沟通问题。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短期修复、长期改进、负责人、优先级、截止日期和验证方式。</w:t>
      </w:r>
    </w:p>
    <w:p>
      <w:pPr>
        <w:pStyle w:val="Heading2"/>
      </w:pPr>
      <w:r>
        <w:t>改进闭环</w:t>
      </w:r>
    </w:p>
    <w:p>
      <w:pPr>
        <w:jc w:val="both"/>
      </w:pPr>
      <w:r>
        <w:t>改进项进入可跟踪系统；高优先级事项在关闭前必须有验证证据。对重复故障应提高治理层级，评估架构、容量、流程或人员能力的系统性改进，而不是重复增加人工检查。</w:t>
      </w:r>
    </w:p>
    <w:p>
      <w:pPr>
        <w:pStyle w:val="Heading1"/>
      </w:pPr>
      <w:r>
        <w:t>常见问题</w:t>
      </w:r>
    </w:p>
    <w:p>
      <w:pPr>
        <w:pStyle w:val="Heading2"/>
      </w:pPr>
      <w:r>
        <w:t>问：生产故障时能否先改再补单？</w:t>
      </w:r>
    </w:p>
    <w:p>
      <w:pPr>
        <w:jc w:val="both"/>
      </w:pPr>
      <w:r>
        <w:t>答：只有满足紧急变更条件并获得应急授权时可以缩短常规流程，但必须保留操作人、时间、变更内容和结果，并在规定时限内补齐记录、评审与复盘。</w:t>
      </w:r>
    </w:p>
    <w:p>
      <w:pPr>
        <w:pStyle w:val="Heading2"/>
      </w:pPr>
      <w:r>
        <w:t>问：备份任务每天成功，为什么还要恢复演练？</w:t>
      </w:r>
    </w:p>
    <w:p>
      <w:pPr>
        <w:jc w:val="both"/>
      </w:pPr>
      <w:r>
        <w:t>答：成功状态只能证明任务运行过，不能证明文件完整、密钥可用、依赖齐全、步骤正确或能在目标时间内恢复。恢复演练用于验证整个恢复链路。</w:t>
      </w:r>
    </w:p>
    <w:p>
      <w:pPr>
        <w:pStyle w:val="Heading2"/>
      </w:pPr>
      <w:r>
        <w:t>问：事件群里可以粘贴数据库记录帮助排障吗？</w:t>
      </w:r>
    </w:p>
    <w:p>
      <w:pPr>
        <w:jc w:val="both"/>
      </w:pPr>
      <w:r>
        <w:t>答：只提供完成诊断所需的最小、脱敏信息。完整个人信息、口令、Token和客户内容不得进入普通聊天群；需要共享时使用受控渠道并限定访问。</w:t>
      </w:r>
    </w:p>
    <w:p>
      <w:pPr>
        <w:pStyle w:val="Heading2"/>
      </w:pPr>
      <w:r>
        <w:t>问：谁有权宣布P1事件结束？</w:t>
      </w:r>
    </w:p>
    <w:p>
      <w:pPr>
        <w:jc w:val="both"/>
      </w:pPr>
      <w:r>
        <w:t>答：由事件负责人依据业务恢复、监控稳定、风险受控和相关责任方确认作出结束决定；技术指标恢复但数据一致性或安全风险未确认时不能结束。</w:t>
      </w:r>
    </w:p>
    <w:p>
      <w:pPr>
        <w:pStyle w:val="Heading1"/>
      </w:pPr>
      <w:r>
        <w:t>检索关键词</w:t>
      </w:r>
    </w:p>
    <w:p>
      <w:pPr>
        <w:spacing w:after="160"/>
      </w:pPr>
      <w:r>
        <w:t>生产运维、生产权限、发布、变更、紧急变更、监控、告警、P1、故障、数据泄露、备份、恢复、RTO、RPO、复盘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建议分片：优先按“一级标题 → 二级标题”切分；单个主题过长时再按自然段切分，并在metadata_json中保留category、section_title、access_scope、min_role_level、version与关键词。</w:t>
            </w:r>
          </w:p>
        </w:tc>
      </w:tr>
    </w:tbl>
    <w:p>
      <w:pPr>
        <w:pStyle w:val="Heading1"/>
      </w:pPr>
      <w:r>
        <w:t>依据与参考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修改后的《中华人民共和国网络安全法》（2026-01-01起施行）：https://www.cac.gov.cn/2025-12/29/c_1768735112911946.htm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《中华人民共和国个人信息保护法》发布说明：https://www.npc.gov.cn/c2/c30834/202108/t20210823_313130.html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《中华人民共和国数据安全法》权威发布目录：https://www.npc.gov.cn/c2/c12435/c16265/index_47.html</w:t>
      </w:r>
    </w:p>
    <w:p>
      <w:pPr>
        <w:pStyle w:val="Heading1"/>
      </w:pPr>
      <w:r>
        <w:t>版本与维护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1600"/>
        <w:gridCol w:w="2400"/>
        <w:gridCol w:w="2700"/>
        <w:gridCol w:w="2711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维护部门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V1.0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2026-07-21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技术部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根据RAG知识来源表结构生成示例初版，待企业审核后生效。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411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500"/>
      <w:gridCol w:w="2911"/>
    </w:tblGrid>
    <w:tr>
      <w:tc>
        <w:tcPr>
          <w:tcW w:type="dxa" w:w="65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r>
            <w:rPr>
              <w:rFonts w:ascii="Noto Sans" w:hAnsi="Noto Sans" w:eastAsia="Noto Sans SC Thin"/>
              <w:color w:val="667085"/>
              <w:sz w:val="16"/>
            </w:rPr>
            <w:t>内部知识资料 · 示例版</w:t>
          </w:r>
        </w:p>
      </w:tc>
      <w:tc>
        <w:tcPr>
          <w:tcW w:type="dxa" w:w="2911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Noto Sans" w:hAnsi="Noto Sans" w:eastAsia="Noto Sans SC Thin"/>
              <w:color w:val="667085"/>
              <w:sz w:val="16"/>
            </w:rPr>
            <w:t xml:space="preserve">第 </w:t>
          </w:r>
          <w:r>
            <w:rPr>
              <w:rFonts w:ascii="Noto Sans" w:hAnsi="Noto Sans" w:eastAsia="Noto Sans SC Thi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Noto Sans" w:hAnsi="Noto Sans" w:eastAsia="Noto Sans SC Thin"/>
              <w:color w:val="66708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6" w:space="5" w:color="D5DDE5"/>
      </w:pBdr>
    </w:pPr>
    <w:r>
      <w:rPr>
        <w:rFonts w:ascii="Noto Sans" w:hAnsi="Noto Sans" w:eastAsia="Noto Sans SC Thin"/>
        <w:b/>
        <w:color w:val="667085"/>
        <w:sz w:val="17"/>
      </w:rPr>
      <w:t>智办企业知识库  /  技术部资料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Noto Sans" w:hAnsi="Noto Sans" w:eastAsia="Noto Sans SC Thi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" w:hAnsi="Noto Sans" w:eastAsia="Noto Sans SC Thi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Noto Sans SC Thin"/>
      <w:b/>
      <w:bCs/>
      <w:color w:val="1F6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技术部生产运维与应急响应手册</dc:title>
  <dc:subject>RAG企业知识库 · 技术部资料</dc:subject>
  <dc:creator>智办科技有限公司</dc:creator>
  <cp:keywords>RAG, 企业知识, 技术部资料, 智办AI OA</cp:keywords>
  <dc:description>根据更新.sql中的oa_ai_source与oa_ai_source_chunk结构生成的示例知识文档。</dc:description>
  <cp:lastModifiedBy/>
  <cp:revision>1</cp:revision>
  <dcterms:created xsi:type="dcterms:W3CDTF">2013-12-23T23:15:00Z</dcterms:created>
  <dcterms:modified xsi:type="dcterms:W3CDTF">2013-12-23T23:15:00Z</dcterms:modified>
  <cp:category>技术部资料</cp:category>
</cp:coreProperties>
</file>