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" w:hAnsi="Noto Sans" w:eastAsia="Noto Sans SC Thin"/>
          <w:b/>
          <w:color w:val="1F6D7A"/>
          <w:sz w:val="22"/>
        </w:rPr>
        <w:t>RAG 企业知识库  ·  行政管理</w:t>
      </w:r>
    </w:p>
    <w:p>
      <w:pPr>
        <w:spacing w:before="160" w:after="200"/>
      </w:pPr>
      <w:r>
        <w:rPr>
          <w:rFonts w:ascii="Noto Sans" w:hAnsi="Noto Sans" w:eastAsia="Noto Sans SC Thin"/>
          <w:b/>
          <w:color w:val="17365D"/>
          <w:sz w:val="54"/>
        </w:rPr>
        <w:t>行政办公与资产管理制度</w:t>
      </w:r>
    </w:p>
    <w:p>
      <w:pPr>
        <w:spacing w:after="360"/>
      </w:pPr>
      <w:r>
        <w:rPr>
          <w:rFonts w:ascii="Noto Sans" w:hAnsi="Noto Sans" w:eastAsia="Noto Sans SC Thin"/>
          <w:color w:val="667085"/>
          <w:sz w:val="22"/>
        </w:rPr>
        <w:t>覆盖办公秩序、会议室、访客、固定资产、采购、印章、档案、差旅协同和安全环保要求。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500"/>
        <w:gridCol w:w="6911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知识标题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行政办公与资产管理制度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行政管理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覆盖办公秩序、会议室、访客、固定资产、采购、印章、档案、差旅协同和安全环保要求。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全体员工及行政、资产、采购协作人员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责任部门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access_scope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ALL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access_department_id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不适用（数据库中应为NULL）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min_role_level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1（普通员工及以上）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status / version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ENABLED / V1.0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2026年7月21日</w:t>
            </w:r>
          </w:p>
        </w:tc>
      </w:tr>
    </w:tbl>
    <w:p>
      <w:pPr>
        <w:spacing w:before="280" w:after="80"/>
      </w:pPr>
      <w:r>
        <w:rPr>
          <w:rFonts w:ascii="Noto Sans" w:hAnsi="Noto Sans" w:eastAsia="Noto Sans SC Thin"/>
          <w:b/>
          <w:color w:val="2E74B5"/>
          <w:sz w:val="23"/>
        </w:rPr>
        <w:t>使用提示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本文件是面向智办AI OA演示环境的企业知识示例，可用于Word上传、全文解析、按标题分片和向量检索。正式发布前应由责任部门审核公司名称、金额标准、部门编号、审批节点和地域性规则；系统生成的文件路径、大小、哈希、解析状态和索引状态不写入正文。</w:t>
            </w:r>
          </w:p>
        </w:tc>
      </w:tr>
    </w:tbl>
    <w:p>
      <w:r>
        <w:br w:type="page"/>
      </w:r>
    </w:p>
    <w:p>
      <w:pPr>
        <w:pStyle w:val="Heading1"/>
      </w:pPr>
      <w:r>
        <w:t>文档目的与适用边界</w:t>
      </w:r>
    </w:p>
    <w:p>
      <w:pPr>
        <w:jc w:val="both"/>
      </w:pPr>
      <w:r>
        <w:t>本制度用于规范通用行政办公事项，提高资源使用效率并保证审批、资产和印章记录可追溯。具体金额权限、印章保管人、办公地点和供应商名录需由企业正式配置。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检索边界：本知识文档只回答通用制度和操作原则，不存放账号口令、密钥、银行账号、未公开个人信息、客户商业秘密或具体案件材料。遇到审批冲突时，以OA中已生效的制度版本和授权记录为准。</w:t>
            </w:r>
          </w:p>
        </w:tc>
      </w:tr>
    </w:tbl>
    <w:p>
      <w:pPr>
        <w:pStyle w:val="Heading1"/>
      </w:pPr>
      <w:r>
        <w:t>知识目录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办公秩序与公共资源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访客与场地安全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资产领用与生命周期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采购与供应商协同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印章、证照与档案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差旅协同与应急</w:t>
      </w:r>
    </w:p>
    <w:p>
      <w:pPr>
        <w:pStyle w:val="Heading1"/>
      </w:pPr>
      <w:r>
        <w:t>办公秩序与公共资源</w:t>
      </w:r>
    </w:p>
    <w:p>
      <w:pPr>
        <w:jc w:val="both"/>
      </w:pPr>
      <w:r>
        <w:t>公共空间的基本原则是安全、整洁、节约和不影响他人。</w:t>
      </w:r>
    </w:p>
    <w:p>
      <w:pPr>
        <w:pStyle w:val="Heading2"/>
      </w:pPr>
      <w:r>
        <w:t>办公区要求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进入受控区域使用本人门禁，不代陌生人刷卡；发现门禁异常及时报告。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离开工位锁屏并妥善保存文件，涉及敏感资料的纸张不长期摆放。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保持通道和消防设施无遮挡，不私拉高功率电器或擅自改动电气设施。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下班前关闭不需要持续运行的设备，会议结束恢复场地并带走文件。</w:t>
      </w:r>
    </w:p>
    <w:p>
      <w:pPr>
        <w:pStyle w:val="Heading2"/>
      </w:pPr>
      <w:r>
        <w:t>会议室使用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通过预约系统选择匹配人数和设备的会议室，写明主题与使用时段。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预计不能使用时及时取消；会议超时需确认后续预约，不占用他人时段。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视频会议前测试网络、屏幕和音频，对外会议注意背景中的白板和敏感信息。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设备故障提交报修，记录会议室、设备、现象和时间，不自行拆修。</w:t>
      </w:r>
    </w:p>
    <w:p>
      <w:pPr>
        <w:pStyle w:val="Heading1"/>
      </w:pPr>
      <w:r>
        <w:t>访客与场地安全</w:t>
      </w:r>
    </w:p>
    <w:p>
      <w:pPr>
        <w:jc w:val="both"/>
      </w:pPr>
      <w:r>
        <w:t>访客接待由邀请人负责，访问范围以业务必要为限。</w:t>
      </w:r>
    </w:p>
    <w:p>
      <w:pPr>
        <w:pStyle w:val="Heading2"/>
      </w:pPr>
      <w:r>
        <w:t>访客流程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邀请人提前登记访客姓名、单位、到访时间、事由和接待人。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访客核验身份并领取临时凭证，在授权区域活动；重要区域需全程陪同。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涉及产品演示、代码、客户数据或未发布信息时，先确认保密要求。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离开时归还凭证，邀请人确认未遗留资料或设备。</w:t>
      </w:r>
    </w:p>
    <w:p>
      <w:pPr>
        <w:pStyle w:val="Heading2"/>
      </w:pPr>
      <w:r>
        <w:t>拍摄与录音</w:t>
      </w:r>
    </w:p>
    <w:p>
      <w:pPr>
        <w:jc w:val="both"/>
      </w:pPr>
      <w:r>
        <w:t>在办公区拍摄、直播或录音前应获得相关人员和区域责任人同意。画面不得包含白板、屏幕、门禁、客户名称、合同、源代码或其他未授权信息。</w:t>
      </w:r>
    </w:p>
    <w:p>
      <w:pPr>
        <w:pStyle w:val="Heading1"/>
      </w:pPr>
      <w:r>
        <w:t>资产领用与生命周期</w:t>
      </w:r>
    </w:p>
    <w:p>
      <w:pPr>
        <w:jc w:val="both"/>
      </w:pPr>
      <w:r>
        <w:t>公司资产从采购、验收、领用、调拨、维修到报废均应有责任人和记录。</w:t>
      </w:r>
    </w:p>
    <w:p>
      <w:pPr>
        <w:pStyle w:val="Heading2"/>
      </w:pPr>
      <w:r>
        <w:t>资产管理流程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700"/>
        <w:gridCol w:w="6711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责任动作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申请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说明业务需要、规格、数量、预算归属和期望时间。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采购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按权限审批和供应商规则执行，避免拆单规避审批。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验收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核对数量、型号、质量、附件、票据和合同要求。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登记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建立资产编号、价值、位置、使用人、保修和状态记录。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领用/调拨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双方确认交接，更新责任人和位置。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维修/报废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评估数据清除、残值、环保和审批要求，保留处置记录。</w:t>
            </w:r>
          </w:p>
        </w:tc>
      </w:tr>
    </w:tbl>
    <w:p>
      <w:pPr>
        <w:spacing w:after="0"/>
      </w:pPr>
    </w:p>
    <w:p>
      <w:pPr>
        <w:pStyle w:val="Heading2"/>
      </w:pPr>
      <w:r>
        <w:t>员工责任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合理使用并保管领用资产，不擅自转借、拆装、出售或带离批准范围。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遗失、被盗、损坏或发现安全隐患时立即报告，不隐瞒或自行处置。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维修电脑和存储设备前备份并按信息安全要求保护数据。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转岗或离职时按清单归还，管理部门验收并完成账号、数据和资产交接。</w:t>
      </w:r>
    </w:p>
    <w:p>
      <w:pPr>
        <w:pStyle w:val="Heading1"/>
      </w:pPr>
      <w:r>
        <w:t>采购与供应商协同</w:t>
      </w:r>
    </w:p>
    <w:p>
      <w:pPr>
        <w:jc w:val="both"/>
      </w:pPr>
      <w:r>
        <w:t>采购应以业务必要、预算合理、过程公平和结果可验收为原则。</w:t>
      </w:r>
    </w:p>
    <w:p>
      <w:pPr>
        <w:pStyle w:val="Heading2"/>
      </w:pPr>
      <w:r>
        <w:t>采购申请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写明需求背景、技术或服务要求、数量、交付时间、验收标准和预算归属。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不得指定与需求无关的品牌限制，不得拆分金额或先采购后审批。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涉及软件、云服务、数据处理和外包人员时同步评估信息安全、个人信息和知识产权。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供应商存在关联关系或利益冲突时，相关人员主动申报并回避。</w:t>
      </w:r>
    </w:p>
    <w:p>
      <w:pPr>
        <w:pStyle w:val="Heading2"/>
      </w:pPr>
      <w:r>
        <w:t>验收与评价</w:t>
      </w:r>
    </w:p>
    <w:p>
      <w:pPr>
        <w:jc w:val="both"/>
      </w:pPr>
      <w:r>
        <w:t>验收依据合同、订单和确认的标准，由具备业务判断能力的人员执行。问题应形成缺陷、整改或扣款记录。供应商评价可综合质量、交期、服务、安全、合规和价格，但不得仅以最低价作为唯一标准。</w:t>
      </w:r>
    </w:p>
    <w:p>
      <w:pPr>
        <w:pStyle w:val="Heading1"/>
      </w:pPr>
      <w:r>
        <w:t>印章、证照与档案</w:t>
      </w:r>
    </w:p>
    <w:p>
      <w:pPr>
        <w:jc w:val="both"/>
      </w:pPr>
      <w:r>
        <w:t>印章和证照代表公司法律身份，必须专人保管、按事项审批、按次登记。</w:t>
      </w:r>
    </w:p>
    <w:p>
      <w:pPr>
        <w:pStyle w:val="Heading2"/>
      </w:pPr>
      <w:r>
        <w:t>用印基本要求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提交完整文件和用印目的，注明份数、对方、金额或责任、签署主体和期限。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审批通过后使用与事项匹配的印章，保管人核对文件版本和审批记录。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原则上不得在空白纸、空白合同或内容不完整文件上盖章。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用印后保存扫描件或归档副本，记录经办人、时间、文件和份数。</w:t>
      </w:r>
    </w:p>
    <w:p>
      <w:pPr>
        <w:pStyle w:val="Heading2"/>
      </w:pPr>
      <w:r>
        <w:t>档案管理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合同、证照、决议、制度、财务和人事档案按类别、年度、保密等级和保留期归档。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借阅、复制和外发按权限审批，归还时核对完整性。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电子档案保持可检索、版本明确和访问受控；不得用个人网盘作为正式归档位置。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到期销毁经审批并采用不可恢复方式，形成销毁清单和见证记录。</w:t>
      </w:r>
    </w:p>
    <w:p>
      <w:pPr>
        <w:pStyle w:val="Heading1"/>
      </w:pPr>
      <w:r>
        <w:t>差旅协同与应急</w:t>
      </w:r>
    </w:p>
    <w:p>
      <w:pPr>
        <w:jc w:val="both"/>
      </w:pPr>
      <w:r>
        <w:t>行政负责通用资源与安全协调，出差费用和报销标准由财务制度规定。</w:t>
      </w:r>
    </w:p>
    <w:p>
      <w:pPr>
        <w:pStyle w:val="Heading2"/>
      </w:pPr>
      <w:r>
        <w:t>出差前后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出差前完成目的、行程、预算和审批，按公司渠道预订交通与住宿。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行程变更影响费用或安全时及时说明并按规则补充审批。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出差中保护设备和文件，不使用不可信网络处理敏感业务。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返回后及时提交成果、票据和差旅总结，涉及客户承诺同步给业务负责人。</w:t>
      </w:r>
    </w:p>
    <w:p>
      <w:pPr>
        <w:pStyle w:val="Heading2"/>
      </w:pPr>
      <w:r>
        <w:t>突发情况</w:t>
      </w:r>
    </w:p>
    <w:p>
      <w:pPr>
        <w:jc w:val="both"/>
      </w:pPr>
      <w:r>
        <w:t>火灾、伤害、治安、自然灾害或设备重大事故发生时，优先保障人身安全并联系当地紧急服务，按疏散指引行动，同时通知行政与直属负责人。未经授权不得代表公司对外发布事故信息。</w:t>
      </w:r>
    </w:p>
    <w:p>
      <w:pPr>
        <w:pStyle w:val="Heading1"/>
      </w:pPr>
      <w:r>
        <w:t>常见问题</w:t>
      </w:r>
    </w:p>
    <w:p>
      <w:pPr>
        <w:pStyle w:val="Heading2"/>
      </w:pPr>
      <w:r>
        <w:t>问：临时来访没有提前预约怎么办？</w:t>
      </w:r>
    </w:p>
    <w:p>
      <w:pPr>
        <w:jc w:val="both"/>
      </w:pPr>
      <w:r>
        <w:t>答：由前台联系内部接待人确认身份和事由，完成临时登记后方可进入授权区域。无法确认接待人或来访目的时，不应放行。</w:t>
      </w:r>
    </w:p>
    <w:p>
      <w:pPr>
        <w:pStyle w:val="Heading2"/>
      </w:pPr>
      <w:r>
        <w:t>问：同事急用设备，可以私下转借吗？</w:t>
      </w:r>
    </w:p>
    <w:p>
      <w:pPr>
        <w:jc w:val="both"/>
      </w:pPr>
      <w:r>
        <w:t>答：不建议。应通过资产管理员登记调拨或临时借用，明确责任人、期限和状态，避免资产与数据责任不清。</w:t>
      </w:r>
    </w:p>
    <w:p>
      <w:pPr>
        <w:pStyle w:val="Heading2"/>
      </w:pPr>
      <w:r>
        <w:t>问：合同已经签字但忘记申请用印，能直接盖章吗？</w:t>
      </w:r>
    </w:p>
    <w:p>
      <w:pPr>
        <w:jc w:val="both"/>
      </w:pPr>
      <w:r>
        <w:t>答：不能。仍需提交完整合同和审批依据，由授权人核对签署主体、版本和风险后用印。</w:t>
      </w:r>
    </w:p>
    <w:p>
      <w:pPr>
        <w:pStyle w:val="Heading2"/>
      </w:pPr>
      <w:r>
        <w:t>问：采购金额不大，可以先买再报销吗？</w:t>
      </w:r>
    </w:p>
    <w:p>
      <w:pPr>
        <w:jc w:val="both"/>
      </w:pPr>
      <w:r>
        <w:t>答：只有制度明确允许的小额场景才可按简化流程办理。其他事项应先申请和审批，避免无预算、重复采购或票据不合规。</w:t>
      </w:r>
    </w:p>
    <w:p>
      <w:pPr>
        <w:pStyle w:val="Heading1"/>
      </w:pPr>
      <w:r>
        <w:t>检索关键词</w:t>
      </w:r>
    </w:p>
    <w:p>
      <w:pPr>
        <w:spacing w:after="160"/>
      </w:pPr>
      <w:r>
        <w:t>行政、办公区、会议室、访客、资产、领用、调拨、报废、采购、供应商、印章、证照、档案、差旅、应急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建议分片：优先按“一级标题 → 二级标题”切分；单个主题过长时再按自然段切分，并在metadata_json中保留category、section_title、access_scope、min_role_level、version与关键词。</w:t>
            </w:r>
          </w:p>
        </w:tc>
      </w:tr>
    </w:tbl>
    <w:p>
      <w:pPr>
        <w:pStyle w:val="Heading1"/>
      </w:pPr>
      <w:r>
        <w:t>版本与维护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600"/>
        <w:gridCol w:w="2400"/>
        <w:gridCol w:w="2700"/>
        <w:gridCol w:w="2711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维护部门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V1.0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2026-07-21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根据RAG知识来源表结构生成示例初版，待企业审核后生效。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911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Noto Sans" w:hAnsi="Noto Sans" w:eastAsia="Noto Sans SC Thin"/>
              <w:color w:val="667085"/>
              <w:sz w:val="16"/>
            </w:rPr>
            <w:t>内部知识资料 · 示例版</w:t>
          </w:r>
        </w:p>
      </w:tc>
      <w:tc>
        <w:tcPr>
          <w:tcW w:type="dxa" w:w="2911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Noto Sans" w:hAnsi="Noto Sans" w:eastAsia="Noto Sans SC Thin"/>
              <w:color w:val="667085"/>
              <w:sz w:val="16"/>
            </w:rPr>
            <w:t xml:space="preserve">第 </w:t>
          </w:r>
          <w:r>
            <w:rPr>
              <w:rFonts w:ascii="Noto Sans" w:hAnsi="Noto Sans" w:eastAsia="Noto Sans SC Thi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eastAsia="Noto Sans SC Thin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6" w:space="5" w:color="D5DDE5"/>
      </w:pBdr>
    </w:pPr>
    <w:r>
      <w:rPr>
        <w:rFonts w:ascii="Noto Sans" w:hAnsi="Noto Sans" w:eastAsia="Noto Sans SC Thin"/>
        <w:b/>
        <w:color w:val="667085"/>
        <w:sz w:val="17"/>
      </w:rPr>
      <w:t>智办企业知识库  /  行政管理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" w:hAnsi="Noto Sans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SC Thi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SC Thin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行政办公与资产管理制度</dc:title>
  <dc:subject>RAG企业知识库 · 行政管理</dc:subject>
  <dc:creator>智办科技有限公司</dc:creator>
  <cp:keywords>RAG, 企业知识, 行政管理, 智办AI OA</cp:keywords>
  <dc:description>根据更新.sql中的oa_ai_source与oa_ai_source_chunk结构生成的示例知识文档。</dc:description>
  <cp:lastModifiedBy/>
  <cp:revision>1</cp:revision>
  <dcterms:created xsi:type="dcterms:W3CDTF">2013-12-23T23:15:00Z</dcterms:created>
  <dcterms:modified xsi:type="dcterms:W3CDTF">2013-12-23T23:15:00Z</dcterms:modified>
  <cp:category>行政管理</cp:category>
</cp:coreProperties>
</file>