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财务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财务报销与费用管理指南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说明预算、借款、采购付款、差旅与日常费用报销、票据、审批、核算和反舞弊控制。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财务报销与费用管理指南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说明预算、借款、采购付款、差旅与日常费用报销、票据、审批、核算和反舞弊控制。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全体员工、费用审批人、采购与财务人员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本指南帮助员工正确申请和报销业务费用，并明确审批人与财务复核的职责。文档不公布银行账号、税号、支付令牌、工资明细或未公开预算；具体金额上限、补贴标准和审批权限由OA配置及正式财务制度确定。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费用管理原则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预算与事前申请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报销流程与材料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常见费用场景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审批人与财务职责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账务、档案与反舞弊</w:t>
      </w:r>
    </w:p>
    <w:p>
      <w:pPr>
        <w:pStyle w:val="Heading1"/>
      </w:pPr>
      <w:r>
        <w:t>费用管理原则</w:t>
      </w:r>
    </w:p>
    <w:p>
      <w:pPr>
        <w:jc w:val="both"/>
      </w:pPr>
      <w:r>
        <w:t>费用必须真实、必要、与公司业务相关、在预算和授权范围内，并有完整证据支持。</w:t>
      </w:r>
    </w:p>
    <w:p>
      <w:pPr>
        <w:pStyle w:val="Heading2"/>
      </w:pPr>
      <w:r>
        <w:t>五项原则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事前授权：除制度允许的紧急或小额场景外，支出前完成申请与预算确认。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真实完整：申请人对事项、金额、参与人、票据和附件真实性负责。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公私分离：个人消费不得混入公司费用，公司资金不得用于个人周转。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职责分离：申请、审批、验收、付款和记账根据风险适当分离。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及时归档：业务完成后在规定时限内报销或核销借款，保留合同、订单、验收和票据。</w:t>
      </w:r>
    </w:p>
    <w:p>
      <w:pPr>
        <w:pStyle w:val="Heading2"/>
      </w:pPr>
      <w:r>
        <w:t>禁止行为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虚构业务、伪造或重复使用票据、扩大金额、拆分支出绕过审批。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要求供应商将个人消费开具为公司业务，或通过第三方套取资金。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审批本人费用而无上级或独立复核，或在存在利益冲突时不回避。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在知识库、普通聊天或工单中公开银行账号、支付验证码和员工薪酬明细。</w:t>
      </w:r>
    </w:p>
    <w:p>
      <w:pPr>
        <w:pStyle w:val="Heading1"/>
      </w:pPr>
      <w:r>
        <w:t>预算与事前申请</w:t>
      </w:r>
    </w:p>
    <w:p>
      <w:pPr>
        <w:jc w:val="both"/>
      </w:pPr>
      <w:r>
        <w:t>预算是资源安排和风险控制工具，不是有预算即可无条件支出。</w:t>
      </w:r>
    </w:p>
    <w:p>
      <w:pPr>
        <w:pStyle w:val="Heading2"/>
      </w:pPr>
      <w:r>
        <w:t>申请信息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业务目的、费用类型、预计金额、发生时间、项目或成本中心。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供应商或参与人员、数量和必要性说明。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已有预算、比价或合同情况，以及是否涉及预付款、外币或长期承诺。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验收标准、付款条件和预计报销或结算时间。</w:t>
      </w:r>
    </w:p>
    <w:p>
      <w:pPr>
        <w:pStyle w:val="Heading2"/>
      </w:pPr>
      <w:r>
        <w:t>预算调整</w:t>
      </w:r>
    </w:p>
    <w:p>
      <w:pPr>
        <w:jc w:val="both"/>
      </w:pPr>
      <w:r>
        <w:t>预计超预算或费用性质变化时，应在支出前提交调整说明，解释原因、影响和资金来源。审批人不得仅因“项目着急”忽略预算和授权；确属紧急情形应使用正式应急流程并保留证据。</w:t>
      </w:r>
    </w:p>
    <w:p>
      <w:pPr>
        <w:pStyle w:val="Heading1"/>
      </w:pPr>
      <w:r>
        <w:t>报销流程与材料</w:t>
      </w:r>
    </w:p>
    <w:p>
      <w:pPr>
        <w:jc w:val="both"/>
      </w:pPr>
      <w:r>
        <w:t>报销单据应形成从业务目的到付款结果的完整证据链。</w:t>
      </w:r>
    </w:p>
    <w:p>
      <w:pPr>
        <w:pStyle w:val="Heading2"/>
      </w:pPr>
      <w:r>
        <w:t>标准流程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100"/>
        <w:gridCol w:w="3500"/>
        <w:gridCol w:w="3811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环节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申请人/责任人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核心检查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填单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经办人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事项、金额、日期、成本归属、收款信息和附件。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业务审批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直属/项目负责人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必要性、真实性、预算和业务结果。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职能审批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采购/行政/法务等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合同、供应商、资产、用印或专项规则。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财务复核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票据、税务、科目、权限、重复和支付条件。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付款记账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出纳/会计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收款主体、金额、审批完成和凭证归档。</w:t>
            </w:r>
          </w:p>
        </w:tc>
      </w:tr>
    </w:tbl>
    <w:p>
      <w:pPr>
        <w:spacing w:after="0"/>
      </w:pPr>
    </w:p>
    <w:p>
      <w:pPr>
        <w:pStyle w:val="Heading2"/>
      </w:pPr>
      <w:r>
        <w:t>通用附件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合法有效且信息一致的发票或收据；无法取得时按制度提供替代证明。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事前申请、合同或订单、付款条件、验收或成果证明。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差旅行程、交通与住宿明细；会议或招待费用说明业务对象和参与人员。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涉及退货、折扣、退款或个人垫付的补充说明和相关流水。</w:t>
      </w:r>
    </w:p>
    <w:p>
      <w:pPr>
        <w:pStyle w:val="Heading2"/>
      </w:pPr>
      <w:r>
        <w:t>票据核对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抬头、税号、日期、项目、金额和开票方与业务相符。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电子票据防止重复报销；纸质票据按要求粘贴或归档。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票据金额与实际支付不一致时，说明差异、优惠、退款或个人承担部分。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不得擅自修改票据内容；发现错误应联系开票方依法重开或更正。</w:t>
      </w:r>
    </w:p>
    <w:p>
      <w:pPr>
        <w:pStyle w:val="Heading1"/>
      </w:pPr>
      <w:r>
        <w:t>常见费用场景</w:t>
      </w:r>
    </w:p>
    <w:p>
      <w:pPr>
        <w:jc w:val="both"/>
      </w:pPr>
      <w:r>
        <w:t>不同费用的证明重点不同，但都必须满足真实业务、事前授权和完整验收。</w:t>
      </w:r>
    </w:p>
    <w:p>
      <w:pPr>
        <w:pStyle w:val="Heading2"/>
      </w:pPr>
      <w:r>
        <w:t>差旅费用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出差前审批目的、地点、日期、预算和人员；选择经济合理的交通与住宿。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行程变更导致费用增加时及时说明；个人延住、绕行或升级部分由个人承担。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交通、住宿、签证、保险和补贴按正式标准执行，不能在知识问答中推定固定金额。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出差结束后按规定期限报销并核销借款。</w:t>
      </w:r>
    </w:p>
    <w:p>
      <w:pPr>
        <w:pStyle w:val="Heading2"/>
      </w:pPr>
      <w:r>
        <w:t>业务招待与会议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说明业务目的、客户或合作方、参与人数、地点和费用构成。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遵守节俭和廉洁要求，不安排与业务无关或明显超标准活动。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涉及礼品时记录对象、用途、数量和标准，不使用现金等价物规避管理。</w:t>
      </w:r>
    </w:p>
    <w:p>
      <w:pPr>
        <w:pStyle w:val="Heading2"/>
      </w:pPr>
      <w:r>
        <w:t>采购与服务付款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合同主体、发票主体、验收对象和收款主体原则上保持一致。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预付款应有合同依据、风险评估和跟踪责任人；里程碑付款附阶段验收。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软件、订阅和云服务明确账号归属、期限、自动续费和退出安排。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固定资产达到企业认定条件时按资产流程登记，不直接作为普通费用处理。</w:t>
      </w:r>
    </w:p>
    <w:p>
      <w:pPr>
        <w:pStyle w:val="Heading2"/>
      </w:pPr>
      <w:r>
        <w:t>借款与备用金</w:t>
      </w:r>
    </w:p>
    <w:p>
      <w:pPr>
        <w:jc w:val="both"/>
      </w:pPr>
      <w:r>
        <w:t>借款只用于已批准且近期发生的业务，不得长期占用或转借。事项完成后及时以合规票据核销并退回余额。未按期核销时，财务可以暂停新的借款申请并要求说明，但具体处理应遵守劳动和财务制度。</w:t>
      </w:r>
    </w:p>
    <w:p>
      <w:pPr>
        <w:pStyle w:val="Heading1"/>
      </w:pPr>
      <w:r>
        <w:t>审批人与财务职责</w:t>
      </w:r>
    </w:p>
    <w:p>
      <w:pPr>
        <w:jc w:val="both"/>
      </w:pPr>
      <w:r>
        <w:t>审批不是简单点击同意。每个角色对其能够判断的事项负责。</w:t>
      </w:r>
    </w:p>
    <w:p>
      <w:pPr>
        <w:pStyle w:val="Heading2"/>
      </w:pPr>
      <w:r>
        <w:t>业务审批人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确认费用确有业务需要、结果合理、金额与预算匹配。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确认参与人员、客户、项目和业务结果，不把真实性判断完全交给财务。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发现自己与申请人、供应商或事项存在利益冲突时主动回避并升级。</w:t>
      </w:r>
    </w:p>
    <w:p>
      <w:pPr>
        <w:pStyle w:val="Heading2"/>
      </w:pPr>
      <w:r>
        <w:t>财务复核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检查审批完整性、票据合法性、会计科目、税务处理、重复报销和支付条件。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对异常金额、拆单、重复供应商、周末高频支出等风险信号开展核实。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退回单据应写明缺失或不合规项，便于申请人一次性补充。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付款前独立核对收款主体和账号变更；敏感支付信息通过受控渠道验证。</w:t>
      </w:r>
    </w:p>
    <w:p>
      <w:pPr>
        <w:pStyle w:val="Heading1"/>
      </w:pPr>
      <w:r>
        <w:t>账务、档案与反舞弊</w:t>
      </w:r>
    </w:p>
    <w:p>
      <w:pPr>
        <w:jc w:val="both"/>
      </w:pPr>
      <w:r>
        <w:t>财务记录应真实、完整、可追溯，任何人不得授意或协助伪造会计资料。</w:t>
      </w:r>
    </w:p>
    <w:p>
      <w:pPr>
        <w:pStyle w:val="Heading2"/>
      </w:pPr>
      <w:r>
        <w:t>凭证与档案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会计凭证与合同、订单、验收、发票、审批和付款记录关联保存。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电子档案设置访问、修改和导出权限，关键记录保留版本和审计日志。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按法定和企业规定的期限保管，到期销毁需审批和记录。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财务人员对在工作中知悉的商业秘密、个人信息和薪酬数据负保密义务。</w:t>
      </w:r>
    </w:p>
    <w:p>
      <w:pPr>
        <w:pStyle w:val="Heading2"/>
      </w:pPr>
      <w:r>
        <w:t>异常与举报</w:t>
      </w:r>
    </w:p>
    <w:p>
      <w:pPr>
        <w:jc w:val="both"/>
      </w:pPr>
      <w:r>
        <w:t>发现虚假报销、回扣、供应商串通、私设账户、篡改账目或异常付款，应保存证据并通过保密渠道报告。调查由授权人员开展，禁止申请人、审批人或被举报人自行删除记录或施压。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问：发票抬头开错了，可以手工修改吗？</w:t>
      </w:r>
    </w:p>
    <w:p>
      <w:pPr>
        <w:jc w:val="both"/>
      </w:pPr>
      <w:r>
        <w:t>答：不可以。应联系开票方依法重开或更正；无法处理时向财务说明并按正式替代凭证规则办理。</w:t>
      </w:r>
    </w:p>
    <w:p>
      <w:pPr>
        <w:pStyle w:val="Heading2"/>
      </w:pPr>
      <w:r>
        <w:t>问：同一事项多人垫付，怎么报销？</w:t>
      </w:r>
    </w:p>
    <w:p>
      <w:pPr>
        <w:jc w:val="both"/>
      </w:pPr>
      <w:r>
        <w:t>答：在报销单中清楚列明业务总额、每位付款人和支付证据，避免同一票据被多次提交。必要时指定一人汇总并附分摊说明。</w:t>
      </w:r>
    </w:p>
    <w:p>
      <w:pPr>
        <w:pStyle w:val="Heading2"/>
      </w:pPr>
      <w:r>
        <w:t>问：领导口头同意了，能否直接付款？</w:t>
      </w:r>
    </w:p>
    <w:p>
      <w:pPr>
        <w:jc w:val="both"/>
      </w:pPr>
      <w:r>
        <w:t>答：不能以口头同意替代系统审批和财务复核。紧急事项应走经批准的紧急流程并补齐正式记录。</w:t>
      </w:r>
    </w:p>
    <w:p>
      <w:pPr>
        <w:pStyle w:val="Heading2"/>
      </w:pPr>
      <w:r>
        <w:t>问：为什么财务还要问业务结果？</w:t>
      </w:r>
    </w:p>
    <w:p>
      <w:pPr>
        <w:jc w:val="both"/>
      </w:pPr>
      <w:r>
        <w:t>答：票据只能证明交易形式，不能证明支出真实必要或已交付。业务负责人和验收材料共同构成真实性与成果证据。</w:t>
      </w:r>
    </w:p>
    <w:p>
      <w:pPr>
        <w:pStyle w:val="Heading2"/>
      </w:pPr>
      <w:r>
        <w:t>问：报销标准是多少？</w:t>
      </w:r>
    </w:p>
    <w:p>
      <w:pPr>
        <w:jc w:val="both"/>
      </w:pPr>
      <w:r>
        <w:t>答：本示例不写死金额。请在OA查看当前有效的费用标准和审批权限；AI回答中的历史金额必须回到原制度核对版本与生效日期。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财务、预算、报销、发票、差旅、招待、会议费、借款、备用金、采购付款、预付款、验收、审批、反舞弊、会计档案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依据与参考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《中华人民共和国会计法》（2024年修正）：https://www.mof.gov.cn/zhengwuxinxi/caizhengxinwen/202406/t20240629_3938355.htm</w:t>
      </w:r>
    </w:p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财务部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财务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财务报销与费用管理指南</dc:title>
  <dc:subject>RAG企业知识库 · 财务</dc:subject>
  <dc:creator>智办科技有限公司</dc:creator>
  <cp:keywords>RAG, 企业知识, 财务,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财务</cp:category>
</cp:coreProperties>
</file>