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法务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法务合规与合同管理指引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覆盖合同全生命周期、授权与用印、保密和知识产权、个人信息、劳动用工、争议与证据保全。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法务合规与合同管理指引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法务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覆盖合同全生命周期、授权与用印、保密和知识产权、个人信息、劳动用工、争议与证据保全。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全体员工、业务负责人、采购、销售、行政人事与法务协作人员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法务合规部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本指引用于识别常见法律与合规风险，并说明何时必须寻求法务支持。它是内部流程知识，不构成针对具体事项的法律意见；适用法律、司法解释、合同事实和地区规则变化时，应由专业人员复核。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合同全生命周期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授权、签字与印章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保密、商业秘密与知识产权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个人信息与数据合规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劳动用工与员工关系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合规红线与第三方管理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争议、调查与证据保全</w:t>
      </w:r>
    </w:p>
    <w:p>
      <w:pPr>
        <w:pStyle w:val="Heading1"/>
      </w:pPr>
      <w:r>
        <w:t>合同全生命周期</w:t>
      </w:r>
    </w:p>
    <w:p>
      <w:pPr>
        <w:jc w:val="both"/>
      </w:pPr>
      <w:r>
        <w:t>合同管理从需求和对方审查开始，直到义务履行、变更、终止和归档结束。</w:t>
      </w:r>
    </w:p>
    <w:p>
      <w:pPr>
        <w:pStyle w:val="Heading2"/>
      </w:pPr>
      <w:r>
        <w:t>签约前准备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确认签约主体、业务目的、预算、履约能力和对方基本资质。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使用最新审核模板；对方版本或重大偏离需标注变化并提交法务评审。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明确范围、交付、验收、价格、税费、付款、期限、违约、知识产权、保密、数据和争议解决。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不得为推进业务先口头承诺关键条件、先履行后补合同，或让无授权人员代表公司签署。</w:t>
      </w:r>
    </w:p>
    <w:p>
      <w:pPr>
        <w:pStyle w:val="Heading2"/>
      </w:pPr>
      <w:r>
        <w:t>评审与签署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700"/>
        <w:gridCol w:w="6711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主要审查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业务负责人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需求、范围、交付、验收、商业条件和履约资源。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价格、税费、付款、预算、发票、结算和资金风险。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技术/安全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技术可行性、服务级别、数据处理、安全责任和退出迁移。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法务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主体、权利义务、责任、知识产权、保密、合规和争议条款。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授权签署人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确认综合风险与授权范围，并作出最终签署决定。</w:t>
            </w:r>
          </w:p>
        </w:tc>
      </w:tr>
    </w:tbl>
    <w:p>
      <w:pPr>
        <w:spacing w:after="0"/>
      </w:pPr>
    </w:p>
    <w:p>
      <w:pPr>
        <w:pStyle w:val="Heading2"/>
      </w:pPr>
      <w:r>
        <w:t>履行、变更与归档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建立合同负责人和关键日期，包括交付、验收、付款、续约、终止和通知期限。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变更范围、金额、主体、期限或责任时使用书面补充协议并按原风险重新审批。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发现违约或争议及时停止扩大损失，保存沟通、交付、验收和付款证据。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签署版、附件、补充协议、审批、用印和履行材料统一归档，禁止仅保留扫描截图。</w:t>
      </w:r>
    </w:p>
    <w:p>
      <w:pPr>
        <w:pStyle w:val="Heading1"/>
      </w:pPr>
      <w:r>
        <w:t>授权、签字与印章</w:t>
      </w:r>
    </w:p>
    <w:p>
      <w:pPr>
        <w:jc w:val="both"/>
      </w:pPr>
      <w:r>
        <w:t>签字和盖章可能使公司承担法律责任。业务紧急不能替代授权。</w:t>
      </w:r>
    </w:p>
    <w:p>
      <w:pPr>
        <w:pStyle w:val="Heading2"/>
      </w:pPr>
      <w:r>
        <w:t>授权边界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员工只能在岗位和书面授权范围内对外承诺、报价、签署或接受责任。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金额、期限、赔偿、担保、独家、知识产权转让和数据跨境等高风险事项应提高审批级别。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授权过期、被撤回或事项超出范围时，不得继续代表公司行动。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电子签署平台账号与签章权限按印章同等控制，不得转交验证码或代签。</w:t>
      </w:r>
    </w:p>
    <w:p>
      <w:pPr>
        <w:pStyle w:val="Heading2"/>
      </w:pPr>
      <w:r>
        <w:t>空白文件与倒签</w:t>
      </w:r>
    </w:p>
    <w:p>
      <w:pPr>
        <w:jc w:val="both"/>
      </w:pPr>
      <w:r>
        <w:t>不得在空白合同、缺页文件、未确认附件或可变内容上签字盖章。原则上不得倒签合同或伪造签署日期；已经开始履行的，应如实说明事实并由法务设计补救文件。</w:t>
      </w:r>
    </w:p>
    <w:p>
      <w:pPr>
        <w:pStyle w:val="Heading1"/>
      </w:pPr>
      <w:r>
        <w:t>保密、商业秘密与知识产权</w:t>
      </w:r>
    </w:p>
    <w:p>
      <w:pPr>
        <w:jc w:val="both"/>
      </w:pPr>
      <w:r>
        <w:t>保密和知识产权保护既包括不泄露他人信息，也包括确保企业获得交付成果的合法权利。</w:t>
      </w:r>
    </w:p>
    <w:p>
      <w:pPr>
        <w:pStyle w:val="Heading2"/>
      </w:pPr>
      <w:r>
        <w:t>保密信息处理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仅为授权业务目的获取和使用，按最小范围分享并标注必要的保密等级。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向供应商、候选人或客户披露前确认保密协议、用途、接收人和安全措施。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离职、项目结束或合同终止时归还或按约销毁，保密义务不因合作结束自动消失。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公开渠道可查不等于可以不受限制地汇编、下载或用于训练模型。</w:t>
      </w:r>
    </w:p>
    <w:p>
      <w:pPr>
        <w:pStyle w:val="Heading2"/>
      </w:pPr>
      <w:r>
        <w:t>知识产权清单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员工职务成果、外包成果和联合开发成果应在合同中明确权属和使用范围。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使用开源软件前核对许可证、告知、署名、源代码披露和专利条款。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图片、字体、文章、数据集、模型和代码均可能受权利限制，不能因网络可下载而默认可商用。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商标、域名、软件著作权和专利申请由授权部门统一管理。</w:t>
      </w:r>
    </w:p>
    <w:p>
      <w:pPr>
        <w:pStyle w:val="Heading1"/>
      </w:pPr>
      <w:r>
        <w:t>个人信息与数据合规</w:t>
      </w:r>
    </w:p>
    <w:p>
      <w:pPr>
        <w:jc w:val="both"/>
      </w:pPr>
      <w:r>
        <w:t>收集和处理员工、客户、访客和用户信息，应有明确目的、必要范围、授权控制和保留期限。</w:t>
      </w:r>
    </w:p>
    <w:p>
      <w:pPr>
        <w:pStyle w:val="Heading2"/>
      </w:pPr>
      <w:r>
        <w:t>处理个人信息的基本要求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在处理前明确目的、种类、方式、保存期限、接收方和安全措施。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只收集实现业务目的所必需的信息，不以默认勾选或模糊描述扩大使用。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敏感个人信息采用更严格保护，访问、导出、共享和删除应留痕。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委托供应商处理数据时，合同明确目的、期限、范围、安全、审计、返还删除和事件通知。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数据用途发生实质变化时重新评估合法性和告知同意要求。</w:t>
      </w:r>
    </w:p>
    <w:p>
      <w:pPr>
        <w:pStyle w:val="Heading2"/>
      </w:pPr>
      <w:r>
        <w:t>AI与RAG合规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上传企业知识前确认公司有权处理文件及其中的个人信息、客户信息和第三方内容。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权限元数据必须真实配置；不得用技术部方便测试为由将受限文件设为全公司可见。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模型供应商、嵌入服务和日志处理涉及对外提供数据时，应完成供应商和数据流评估。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AI回答保留来源与版本，涉及合同、劳动、财务或法律结论时提示人工核对。</w:t>
      </w:r>
    </w:p>
    <w:p>
      <w:pPr>
        <w:pStyle w:val="Heading1"/>
      </w:pPr>
      <w:r>
        <w:t>劳动用工与员工关系</w:t>
      </w:r>
    </w:p>
    <w:p>
      <w:pPr>
        <w:jc w:val="both"/>
      </w:pPr>
      <w:r>
        <w:t>劳动关系事项应遵守合法、公平、协商一致和诚实信用原则，重要决定使用书面记录并保障员工陈述。</w:t>
      </w:r>
    </w:p>
    <w:p>
      <w:pPr>
        <w:pStyle w:val="Heading2"/>
      </w:pPr>
      <w:r>
        <w:t>合同与制度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依法及时订立书面劳动合同，明确期限、岗位、地点、工时、报酬、社会保险和劳动保护等事项。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涉及员工切身利益的规章制度依法制定、讨论、公示或告知，保留过程与签收记录。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试用期、培训服务期、保密和竞业限制必须符合法定条件，不能简单复制模板。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调岗、调薪、绩效和解除终止应基于事实、合同、制度与法定程序，由人事和法务复核高风险事项。</w:t>
      </w:r>
    </w:p>
    <w:p>
      <w:pPr>
        <w:pStyle w:val="Heading2"/>
      </w:pPr>
      <w:r>
        <w:t>竞业限制提示</w:t>
      </w:r>
    </w:p>
    <w:p>
      <w:pPr>
        <w:jc w:val="both"/>
      </w:pPr>
      <w:r>
        <w:t>竞业限制只适用于法律允许范围内的特定人员，应明确范围、地域、期限和补偿。2025年9月1日起施行的劳动争议司法解释（二）对竞业限制等问题提供新的裁判规则，具体条款和执行应由法务结合岗位与最新规则审查。</w:t>
      </w:r>
    </w:p>
    <w:p>
      <w:pPr>
        <w:pStyle w:val="Heading1"/>
      </w:pPr>
      <w:r>
        <w:t>合规红线与第三方管理</w:t>
      </w:r>
    </w:p>
    <w:p>
      <w:pPr>
        <w:jc w:val="both"/>
      </w:pPr>
      <w:r>
        <w:t>员工应避免商业贿赂、利益冲突、虚假宣传、不正当竞争和未经授权的数据或知识产权使用。</w:t>
      </w:r>
    </w:p>
    <w:p>
      <w:pPr>
        <w:pStyle w:val="Heading2"/>
      </w:pPr>
      <w:r>
        <w:t>高风险信号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对方要求向个人账户付款、开具与业务不符发票或通过第三方转款。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供应商提出回扣、介绍费、礼品或私人安排，并与选型、验收或付款挂钩。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销售宣传使用绝对化、无法证明的性能或客户案例，或暗示不具备的资质。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合作方拒绝说明数据来源、授权、分包商或安全措施。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合同要求无限责任、单方解释、长期自动续约或不合理的知识产权转让。</w:t>
      </w:r>
    </w:p>
    <w:p>
      <w:pPr>
        <w:pStyle w:val="Heading2"/>
      </w:pPr>
      <w:r>
        <w:t>处理方式</w:t>
      </w:r>
    </w:p>
    <w:p>
      <w:pPr>
        <w:jc w:val="both"/>
      </w:pPr>
      <w:r>
        <w:t>暂停作出承诺或付款，保存原始材料，向直属负责人及法务、财务或合规渠道报告。不得为了完成业绩自行承诺“后面再补”，也不得提示对方修改描述来掩盖真实安排。</w:t>
      </w:r>
    </w:p>
    <w:p>
      <w:pPr>
        <w:pStyle w:val="Heading1"/>
      </w:pPr>
      <w:r>
        <w:t>争议、调查与证据保全</w:t>
      </w:r>
    </w:p>
    <w:p>
      <w:pPr>
        <w:jc w:val="both"/>
      </w:pPr>
      <w:r>
        <w:t>争议发生后，不当沟通和删除记录可能显著扩大风险。</w:t>
      </w:r>
    </w:p>
    <w:p>
      <w:pPr>
        <w:pStyle w:val="Heading2"/>
      </w:pPr>
      <w:r>
        <w:t>争议初期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迅速汇总合同、审批、邮件、聊天、交付、验收、发票、付款和系统日志。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停止自动删除相关记录，通知可能持有证据的人员妥善保存。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对外沟通保持事实准确，避免未经授权承认责任、放弃权利或承诺赔偿。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由统一负责人协调业务、法务、财务、技术和管理层，建立时间线与待办。</w:t>
      </w:r>
    </w:p>
    <w:p>
      <w:pPr>
        <w:pStyle w:val="Heading2"/>
      </w:pPr>
      <w:r>
        <w:t>内部调查</w:t>
      </w:r>
    </w:p>
    <w:p>
      <w:pPr>
        <w:jc w:val="both"/>
      </w:pPr>
      <w:r>
        <w:t>调查应限定范围和权限，保护举报人与被调查人的合法权益，确保记录完整、证据来源可说明。未经授权不得自行查看他人邮箱、聊天或设备，也不得传播调查细节。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问：对方说先发邮件确认，合同以后补，可以吗？</w:t>
      </w:r>
    </w:p>
    <w:p>
      <w:pPr>
        <w:jc w:val="both"/>
      </w:pPr>
      <w:r>
        <w:t>答：邮件可能形成有约束力的承诺。涉及价格、交付、责任、知识产权或数据时，不应在未授权和未评审情况下确认；确需先行安排，由法务提供适当的意向或临时文件。</w:t>
      </w:r>
    </w:p>
    <w:p>
      <w:pPr>
        <w:pStyle w:val="Heading2"/>
      </w:pPr>
      <w:r>
        <w:t>问：使用网上找到的图片做企业宣传是否安全？</w:t>
      </w:r>
    </w:p>
    <w:p>
      <w:pPr>
        <w:jc w:val="both"/>
      </w:pPr>
      <w:r>
        <w:t>答：不一定。应核实来源、许可范围、商用权、署名和修改要求；搜索可见不等于授权。优先使用自有或经过正式授权的素材。</w:t>
      </w:r>
    </w:p>
    <w:p>
      <w:pPr>
        <w:pStyle w:val="Heading2"/>
      </w:pPr>
      <w:r>
        <w:t>问：客户要求删除数据，谁来处理？</w:t>
      </w:r>
    </w:p>
    <w:p>
      <w:pPr>
        <w:jc w:val="both"/>
      </w:pPr>
      <w:r>
        <w:t>答：先确认请求人身份、数据范围、合同和法定义务，再由业务、技术、安全和法务协同处理。不能未经核验直接删除，也不能无理由拖延。</w:t>
      </w:r>
    </w:p>
    <w:p>
      <w:pPr>
        <w:pStyle w:val="Heading2"/>
      </w:pPr>
      <w:r>
        <w:t>问：供应商送礼但金额不高，能收吗？</w:t>
      </w:r>
    </w:p>
    <w:p>
      <w:pPr>
        <w:jc w:val="both"/>
      </w:pPr>
      <w:r>
        <w:t>答：应按照廉洁和礼品标准判断，并考虑是否正处于选型、验收或付款阶段。可能影响或看似影响公正判断时应拒绝、申报或上交。</w:t>
      </w:r>
    </w:p>
    <w:p>
      <w:pPr>
        <w:pStyle w:val="Heading2"/>
      </w:pPr>
      <w:r>
        <w:t>问：AI可以直接审合同并给出结论吗？</w:t>
      </w:r>
    </w:p>
    <w:p>
      <w:pPr>
        <w:jc w:val="both"/>
      </w:pPr>
      <w:r>
        <w:t>答：AI可帮助定位条款和提示常见风险，但不能替代事实核验、商业判断和专业法律审查。重要合同必须由授权人员和法务确认。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法务、合同、签署、授权、用印、保密、商业秘密、知识产权、开源软件、个人信息、数据合规、劳动合同、竞业限制、争议、证据保全、反商业贿赂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《中华人民共和国劳动合同法》：https://sfj.beijing.gov.cn/sfj/sfdt/fzxc74/387021/index.html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最高人民法院劳动争议司法解释（二）发布信息：https://www.court.gov.cn/fabu/xiangqing/472691.html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修改后的《中华人民共和国网络安全法》（2026-01-01起施行）：https://www.cac.gov.cn/2025-12/29/c_1768735112911946.htm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《中华人民共和国个人信息保护法》发布说明：https://www.npc.gov.cn/c2/c30834/202108/t20210823_313130.html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《中华人民共和国数据安全法》权威发布目录：https://www.npc.gov.cn/c2/c12435/c16265/index_47.html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法务合规部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法务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法务合规与合同管理指引</dc:title>
  <dc:subject>RAG企业知识库 · 法务</dc:subject>
  <dc:creator>智办科技有限公司</dc:creator>
  <cp:keywords>RAG, 企业知识, 法务,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法务</cp:category>
</cp:coreProperties>
</file>