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Noto Sans" w:hAnsi="Noto Sans" w:eastAsia="Noto Sans SC Thin"/>
          <w:b/>
          <w:color w:val="1F6D7A"/>
          <w:sz w:val="22"/>
        </w:rPr>
        <w:t>RAG 企业知识库  ·  信息安全</w:t>
      </w:r>
    </w:p>
    <w:p>
      <w:pPr>
        <w:spacing w:before="160" w:after="200"/>
      </w:pPr>
      <w:r>
        <w:rPr>
          <w:rFonts w:ascii="Noto Sans" w:hAnsi="Noto Sans" w:eastAsia="Noto Sans SC Thin"/>
          <w:b/>
          <w:color w:val="17365D"/>
          <w:sz w:val="54"/>
        </w:rPr>
        <w:t>信息安全与数据保护规范</w:t>
      </w:r>
    </w:p>
    <w:p>
      <w:pPr>
        <w:spacing w:after="360"/>
      </w:pPr>
      <w:r>
        <w:rPr>
          <w:rFonts w:ascii="Noto Sans" w:hAnsi="Noto Sans" w:eastAsia="Noto Sans SC Thin"/>
          <w:color w:val="667085"/>
          <w:sz w:val="22"/>
        </w:rPr>
        <w:t>规定账号、终端、网络、数据分级、访问控制、第三方、AI工具和安全事件的全员要求。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500"/>
        <w:gridCol w:w="6911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知识标题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信息安全与数据保护规范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category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信息安全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规定账号、终端、网络、数据分级、访问控制、第三方、AI工具和安全事件的全员要求。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适用对象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全体员工、实习生、外包与经授权的合作人员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责任部门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信息安全负责人/技术部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access_scope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ALL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access_department_id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不适用（数据库中应为NULL）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min_role_level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1（普通员工及以上）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status / version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ENABLED / V1.0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编制日期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2026年7月21日</w:t>
            </w:r>
          </w:p>
        </w:tc>
      </w:tr>
    </w:tbl>
    <w:p>
      <w:pPr>
        <w:spacing w:before="280" w:after="80"/>
      </w:pPr>
      <w:r>
        <w:rPr>
          <w:rFonts w:ascii="Noto Sans" w:hAnsi="Noto Sans" w:eastAsia="Noto Sans SC Thin"/>
          <w:b/>
          <w:color w:val="2E74B5"/>
          <w:sz w:val="23"/>
        </w:rPr>
        <w:t>使用提示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本文件是面向智办AI OA演示环境的企业知识示例，可用于Word上传、全文解析、按标题分片和向量检索。正式发布前应由责任部门审核公司名称、金额标准、部门编号、审批节点和地域性规则；系统生成的文件路径、大小、哈希、解析状态和索引状态不写入正文。</w:t>
            </w:r>
          </w:p>
        </w:tc>
      </w:tr>
    </w:tbl>
    <w:p>
      <w:r>
        <w:br w:type="page"/>
      </w:r>
    </w:p>
    <w:p>
      <w:pPr>
        <w:pStyle w:val="Heading1"/>
      </w:pPr>
      <w:r>
        <w:t>文档目的与适用边界</w:t>
      </w:r>
    </w:p>
    <w:p>
      <w:pPr>
        <w:jc w:val="both"/>
      </w:pPr>
      <w:r>
        <w:t>本规范建立全员信息安全和数据保护底线，适用于公司系统、设备、网络、文档、代码、个人信息及AI工具。专项技术标准可以设置更严格要求；与客户合同或法律要求冲突时，采用更严格且合法的控制。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检索边界：本知识文档只回答通用制度和操作原则，不存放账号口令、密钥、银行账号、未公开个人信息、客户商业秘密或具体案件材料。遇到审批冲突时，以OA中已生效的制度版本和授权记录为准。</w:t>
            </w:r>
          </w:p>
        </w:tc>
      </w:tr>
    </w:tbl>
    <w:p>
      <w:pPr>
        <w:pStyle w:val="Heading1"/>
      </w:pPr>
      <w:r>
        <w:t>知识目录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数据分类与处理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账号、身份与访问控制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终端、网络与远程办公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邮件、消息与社会工程防护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企业知识库与生成式AI安全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第三方与供应链安全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安全事件与报告</w:t>
      </w:r>
    </w:p>
    <w:p>
      <w:pPr>
        <w:pStyle w:val="Heading1"/>
      </w:pPr>
      <w:r>
        <w:t>数据分类与处理</w:t>
      </w:r>
    </w:p>
    <w:p>
      <w:pPr>
        <w:jc w:val="both"/>
      </w:pPr>
      <w:r>
        <w:t>先识别数据敏感程度，再决定存放、传输、共享、备份和销毁方式。</w:t>
      </w:r>
    </w:p>
    <w:p>
      <w:pPr>
        <w:pStyle w:val="Heading2"/>
      </w:pPr>
      <w:r>
        <w:t>建议分类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100"/>
        <w:gridCol w:w="3500"/>
        <w:gridCol w:w="3811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级别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示例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基本要求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公开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已发布官网内容、公开招聘信息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可按授权对外使用，仍需保证准确与版权。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内部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一般流程、培训、内部通讯录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仅内部业务使用，不随意对外转发。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机密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源代码、合同价格、客户资料、财务与人事信息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最小权限、受控存储、加密传输、导出留痕。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严格机密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密钥、特权凭证、重大未公开决策、高敏感数据</w:t>
            </w:r>
          </w:p>
        </w:tc>
        <w:tc>
          <w:tcPr>
            <w:tcW w:type="dxa" w:w="38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专门系统托管、强认证、严格审批、限制复制与持续审计。</w:t>
            </w:r>
          </w:p>
        </w:tc>
      </w:tr>
    </w:tbl>
    <w:p>
      <w:pPr>
        <w:spacing w:after="0"/>
      </w:pPr>
    </w:p>
    <w:p>
      <w:pPr>
        <w:pStyle w:val="Heading2"/>
      </w:pPr>
      <w:r>
        <w:t>全生命周期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收集：有明确目的和必要范围，确认来源合法。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存储：使用批准系统，设置权限、加密、备份和保留期限。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使用：只为授权目的处理，不超范围查询、复制或分析。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共享：核对接收人、目的、最小数据和安全方式，必要时签署协议。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归档与销毁：按保留要求归档，到期经批准不可恢复删除。</w:t>
      </w:r>
    </w:p>
    <w:p>
      <w:pPr>
        <w:pStyle w:val="Heading1"/>
      </w:pPr>
      <w:r>
        <w:t>账号、身份与访问控制</w:t>
      </w:r>
    </w:p>
    <w:p>
      <w:pPr>
        <w:jc w:val="both"/>
      </w:pPr>
      <w:r>
        <w:t>账号代表个人责任。任何共享、借用或绕过认证的行为都会削弱安全与审计。</w:t>
      </w:r>
    </w:p>
    <w:p>
      <w:pPr>
        <w:pStyle w:val="Heading2"/>
      </w:pPr>
      <w:r>
        <w:t>账号安全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为公司系统使用独立强口令，禁止在多个系统和个人服务重复使用。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启用多因素认证，不向任何人提供验证码、恢复码或认证确认。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收到异常登录、异地登录或多次验证请求时立即拒绝并报告。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禁止共享个人账号；确需系统账号时使用受控服务身份并限定用途。</w:t>
      </w:r>
    </w:p>
    <w:p>
      <w:pPr>
        <w:pStyle w:val="Heading2"/>
      </w:pPr>
      <w:r>
        <w:t>权限治理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入职、转岗、项目变化和离职触发权限开通、调整与回收。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权限申请说明业务目的、数据范围、角色、有效期和负责人。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敏感权限定期复核，长期未使用、超范围或无责任人的权限及时移除。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管理员使用独立管理账号，不用高权限账号处理日常邮件和网页浏览。</w:t>
      </w:r>
    </w:p>
    <w:p>
      <w:pPr>
        <w:pStyle w:val="Heading1"/>
      </w:pPr>
      <w:r>
        <w:t>终端、网络与远程办公</w:t>
      </w:r>
    </w:p>
    <w:p>
      <w:pPr>
        <w:jc w:val="both"/>
      </w:pPr>
      <w:r>
        <w:t>终端是企业数据进入个人工作场景的主要入口，应保持受控和可更新。</w:t>
      </w:r>
    </w:p>
    <w:p>
      <w:pPr>
        <w:pStyle w:val="Heading2"/>
      </w:pPr>
      <w:r>
        <w:t>设备要求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使用公司批准的操作系统、补丁、防护和磁盘加密，不擅自关闭安全软件。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软件从可信来源安装；破解软件、未知浏览器插件和未经批准的远控工具禁止使用。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设备离开视线时锁屏，外出时防止遗失和旁观；不把设备留在无人看管的公共区域。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设备遗失、被盗、恶意软件或异常弹窗立即断开可疑连接并报告。</w:t>
      </w:r>
    </w:p>
    <w:p>
      <w:pPr>
        <w:pStyle w:val="Heading2"/>
      </w:pPr>
      <w:r>
        <w:t>网络与远程访问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远程办公使用公司批准的VPN或零信任访问，禁止直接暴露管理端口。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公共Wi-Fi下不处理敏感业务；确需使用时通过受控加密通道。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家庭成员和朋友不得使用公司设备或查看工作屏幕、文件和消息。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打印敏感资料应及时领取并安全销毁废稿。</w:t>
      </w:r>
    </w:p>
    <w:p>
      <w:pPr>
        <w:pStyle w:val="Heading1"/>
      </w:pPr>
      <w:r>
        <w:t>邮件、消息与社会工程防护</w:t>
      </w:r>
    </w:p>
    <w:p>
      <w:pPr>
        <w:jc w:val="both"/>
      </w:pPr>
      <w:r>
        <w:t>攻击者常利用紧急、权威、利益或恐惧诱导员工绕过正常流程。</w:t>
      </w:r>
    </w:p>
    <w:p>
      <w:pPr>
        <w:pStyle w:val="Heading2"/>
      </w:pPr>
      <w:r>
        <w:t>可疑信号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要求立即付款、修改收款账号、提供验证码或绕过审批。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发件域名细微拼写差异，链接地址与显示文字不一致。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陌生附件、宏、压缩包密码，或要求安装屏幕共享和远控软件。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自称领导、客户或技术支持，但拒绝通过已知渠道复核身份。</w:t>
      </w:r>
    </w:p>
    <w:p>
      <w:pPr>
        <w:pStyle w:val="Heading2"/>
      </w:pPr>
      <w:r>
        <w:t>安全处理</w:t>
      </w:r>
    </w:p>
    <w:p>
      <w:pPr>
        <w:jc w:val="both"/>
      </w:pPr>
      <w:r>
        <w:t>不要点击、回复或转发可疑内容；通过通讯录中的已知方式独立核验。保留原始邮件或消息并报告安全团队。若已输入口令、下载文件或执行付款，立即说明已做动作和时间，越早报告越有利于止损。</w:t>
      </w:r>
    </w:p>
    <w:p>
      <w:pPr>
        <w:pStyle w:val="Heading1"/>
      </w:pPr>
      <w:r>
        <w:t>企业知识库与生成式AI安全</w:t>
      </w:r>
    </w:p>
    <w:p>
      <w:pPr>
        <w:jc w:val="both"/>
      </w:pPr>
      <w:r>
        <w:t>AI工具会扩大信息复制和推断能力，使用前必须确认工具、数据和场景均获批准。</w:t>
      </w:r>
    </w:p>
    <w:p>
      <w:pPr>
        <w:pStyle w:val="Heading2"/>
      </w:pPr>
      <w:r>
        <w:t>允许与禁止输入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700"/>
        <w:gridCol w:w="6711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可在批准场景使用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不得直接输入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公开资料、无敏感信息的通用问题、已批准的内部知识片段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口令、密钥、Token、私钥、生产连接信息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经过脱敏且为明确业务目的的数据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身份证号、银行卡号、健康信息等敏感个人信息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自有或已授权内容</w:t>
            </w:r>
          </w:p>
        </w:tc>
        <w:tc>
          <w:tcPr>
            <w:tcW w:type="dxa" w:w="6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客户未授权文档、源代码仓库、合同全文、未公开财务数据</w:t>
            </w:r>
          </w:p>
        </w:tc>
      </w:tr>
    </w:tbl>
    <w:p>
      <w:pPr>
        <w:spacing w:after="0"/>
      </w:pPr>
    </w:p>
    <w:p>
      <w:pPr>
        <w:pStyle w:val="Heading2"/>
      </w:pPr>
      <w:r>
        <w:t>RAG权限控制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来源级权限由status、access_scope、department和min_role_level共同决定。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检索缓存按角色、部门、权限版本隔离，不能让不同用户共享越权结果。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回答展示来源标题和版本，用户打开原文时再次校验权限。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知识文件禁用、权限调整或版本更新后，缓存和索引及时失效。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对越权问题、提示注入和恶意文档开展测试，模型不得执行文档中的隐藏指令。</w:t>
      </w:r>
    </w:p>
    <w:p>
      <w:pPr>
        <w:pStyle w:val="Heading2"/>
      </w:pPr>
      <w:r>
        <w:t>人工核验</w:t>
      </w:r>
    </w:p>
    <w:p>
      <w:pPr>
        <w:jc w:val="both"/>
      </w:pPr>
      <w:r>
        <w:t>AI生成内容可能错误、过时或脱离适用范围。涉及付款、合同、用工、生产操作、安全处置和对外承诺时，必须核对原始来源并由有权人员决定。</w:t>
      </w:r>
    </w:p>
    <w:p>
      <w:pPr>
        <w:pStyle w:val="Heading1"/>
      </w:pPr>
      <w:r>
        <w:t>第三方与供应链安全</w:t>
      </w:r>
    </w:p>
    <w:p>
      <w:pPr>
        <w:jc w:val="both"/>
      </w:pPr>
      <w:r>
        <w:t>第三方接触系统、数据或代码前，应根据风险完成准入、合同和技术控制。</w:t>
      </w:r>
    </w:p>
    <w:p>
      <w:pPr>
        <w:pStyle w:val="Heading2"/>
      </w:pPr>
      <w:r>
        <w:t>准入检查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明确服务内容、数据类型、访问方式、分包商、存储地域和退出安排。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评估安全能力、历史事件、合规证明、漏洞响应和业务连续性。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合同约定保密、数据用途、安全措施、事件通知、审计、返还删除和责任。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第三方账号实名、最小权限、限定时间和来源，并监控高风险操作。</w:t>
      </w:r>
    </w:p>
    <w:p>
      <w:pPr>
        <w:pStyle w:val="Heading2"/>
      </w:pPr>
      <w:r>
        <w:t>软件依赖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依赖来源可追溯，使用锁定版本和完整性校验，及时处理高危漏洞。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评估开源许可证与维护状态，避免引入来源不明或停更组件。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构建和发布系统保护凭证、制品与签名，禁止从个人设备直接发布生产。</w:t>
      </w:r>
    </w:p>
    <w:p>
      <w:pPr>
        <w:pStyle w:val="Heading1"/>
      </w:pPr>
      <w:r>
        <w:t>安全事件与报告</w:t>
      </w:r>
    </w:p>
    <w:p>
      <w:pPr>
        <w:jc w:val="both"/>
      </w:pPr>
      <w:r>
        <w:t>任何员工都可以报告安全问题。及时、真实报告比自行掩盖更重要。</w:t>
      </w:r>
    </w:p>
    <w:p>
      <w:pPr>
        <w:pStyle w:val="Heading2"/>
      </w:pPr>
      <w:r>
        <w:t>需要立即报告的情形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设备、文件、门禁卡或包含公司信息的移动介质遗失。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误发邮件、公开链接、异常下载、个人信息或客户数据疑似泄露。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账号被盗、异常登录、恶意软件、勒索提示或可疑远控。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未经授权的生产访问、批量删除、权限提升或密钥暴露。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发现系统漏洞、越权访问、AI知识泄露或第三方安全事件。</w:t>
      </w:r>
    </w:p>
    <w:p>
      <w:pPr>
        <w:pStyle w:val="Heading2"/>
      </w:pPr>
      <w:r>
        <w:t>报告内容</w:t>
      </w:r>
    </w:p>
    <w:p>
      <w:pPr>
        <w:jc w:val="both"/>
      </w:pPr>
      <w:r>
        <w:t>提供发现时间、系统或设备、现象、已执行动作、可能影响和证据位置。除非应急负责人指示，不要关机、重装、删除日志或在大群传播细节。安全团队将根据影响协调技术、法务、人事、管理层和客户沟通。</w:t>
      </w:r>
    </w:p>
    <w:p>
      <w:pPr>
        <w:pStyle w:val="Heading1"/>
      </w:pPr>
      <w:r>
        <w:t>常见问题</w:t>
      </w:r>
    </w:p>
    <w:p>
      <w:pPr>
        <w:pStyle w:val="Heading2"/>
      </w:pPr>
      <w:r>
        <w:t>问：误把内部文件发给了外部人员，但对方说没看，需要报告吗？</w:t>
      </w:r>
    </w:p>
    <w:p>
      <w:pPr>
        <w:jc w:val="both"/>
      </w:pPr>
      <w:r>
        <w:t>答：需要。说明接收人、文件、发送时间和是否可撤回，由安全与责任部门评估敏感性、扩散和补救。不能只依据对方口头保证自行结案。</w:t>
      </w:r>
    </w:p>
    <w:p>
      <w:pPr>
        <w:pStyle w:val="Heading2"/>
      </w:pPr>
      <w:r>
        <w:t>问：可以把同事的MFA验证码用于紧急处理吗？</w:t>
      </w:r>
    </w:p>
    <w:p>
      <w:pPr>
        <w:jc w:val="both"/>
      </w:pPr>
      <w:r>
        <w:t>答：不可以。应使用应急授权和受控特权账号。共享验证码会破坏身份确认和审计，并可能触发更大安全风险。</w:t>
      </w:r>
    </w:p>
    <w:p>
      <w:pPr>
        <w:pStyle w:val="Heading2"/>
      </w:pPr>
      <w:r>
        <w:t>问：公开网站上的资料可以直接上传企业RAG吗？</w:t>
      </w:r>
    </w:p>
    <w:p>
      <w:pPr>
        <w:jc w:val="both"/>
      </w:pPr>
      <w:r>
        <w:t>答：不能一概而论。需要核对版权、网站条款、个人信息、商业秘密和使用目的；公开可访问不等于获得复制、训练或商业使用权。</w:t>
      </w:r>
    </w:p>
    <w:p>
      <w:pPr>
        <w:pStyle w:val="Heading2"/>
      </w:pPr>
      <w:r>
        <w:t>问：发现漏洞可以自己继续测试吗？</w:t>
      </w:r>
    </w:p>
    <w:p>
      <w:pPr>
        <w:jc w:val="both"/>
      </w:pPr>
      <w:r>
        <w:t>答：只在明确授权范围内做最小验证，避免访问真实数据、扩大影响或破坏服务。立即记录并通过安全渠道报告，等待进一步授权。</w:t>
      </w:r>
    </w:p>
    <w:p>
      <w:pPr>
        <w:pStyle w:val="Heading2"/>
      </w:pPr>
      <w:r>
        <w:t>问：修改后的网络安全法对AI有什么关系？</w:t>
      </w:r>
    </w:p>
    <w:p>
      <w:pPr>
        <w:jc w:val="both"/>
      </w:pPr>
      <w:r>
        <w:t>答：修改后的《网络安全法》自2026年1月1日起施行，新增促进人工智能安全发展相关规定，并完善网络安全法律责任。企业应同时推进AI应用、伦理规范、风险监测和安全监管。</w:t>
      </w:r>
    </w:p>
    <w:p>
      <w:pPr>
        <w:pStyle w:val="Heading1"/>
      </w:pPr>
      <w:r>
        <w:t>检索关键词</w:t>
      </w:r>
    </w:p>
    <w:p>
      <w:pPr>
        <w:spacing w:after="160"/>
      </w:pPr>
      <w:r>
        <w:t>信息安全、数据分级、账号、MFA、最小权限、终端、VPN、钓鱼邮件、社会工程、生成式AI、RAG安全、提示注入、第三方、供应链、安全事件、数据泄露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建议分片：优先按“一级标题 → 二级标题”切分；单个主题过长时再按自然段切分，并在metadata_json中保留category、section_title、access_scope、min_role_level、version与关键词。</w:t>
            </w:r>
          </w:p>
        </w:tc>
      </w:tr>
    </w:tbl>
    <w:p>
      <w:pPr>
        <w:pStyle w:val="Heading1"/>
      </w:pPr>
      <w:r>
        <w:t>依据与参考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修改后的《中华人民共和国网络安全法》（2026-01-01起施行）：https://www.cac.gov.cn/2025-12/29/c_1768735112911946.htm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《中华人民共和国个人信息保护法》发布说明：https://www.npc.gov.cn/c2/c30834/202108/t20210823_313130.html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667085"/>
          <w:sz w:val="18"/>
        </w:rPr>
        <w:t>《中华人民共和国数据安全法》权威发布目录：https://www.npc.gov.cn/c2/c12435/c16265/index_47.html</w:t>
      </w:r>
    </w:p>
    <w:p>
      <w:pPr>
        <w:pStyle w:val="Heading1"/>
      </w:pPr>
      <w:r>
        <w:t>版本与维护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1600"/>
        <w:gridCol w:w="2400"/>
        <w:gridCol w:w="2700"/>
        <w:gridCol w:w="2711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维护部门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V1.0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2026-07-21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信息安全负责人/技术部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根据RAG知识来源表结构生成示例初版，待企业审核后生效。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411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500"/>
      <w:gridCol w:w="2911"/>
    </w:tblGrid>
    <w:tr>
      <w:tc>
        <w:tcPr>
          <w:tcW w:type="dxa" w:w="65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Noto Sans" w:hAnsi="Noto Sans" w:eastAsia="Noto Sans SC Thin"/>
              <w:color w:val="667085"/>
              <w:sz w:val="16"/>
            </w:rPr>
            <w:t>内部知识资料 · 示例版</w:t>
          </w:r>
        </w:p>
      </w:tc>
      <w:tc>
        <w:tcPr>
          <w:tcW w:type="dxa" w:w="2911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Noto Sans" w:hAnsi="Noto Sans" w:eastAsia="Noto Sans SC Thin"/>
              <w:color w:val="667085"/>
              <w:sz w:val="16"/>
            </w:rPr>
            <w:t xml:space="preserve">第 </w:t>
          </w:r>
          <w:r>
            <w:rPr>
              <w:rFonts w:ascii="Noto Sans" w:hAnsi="Noto Sans" w:eastAsia="Noto Sans SC Thi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Noto Sans" w:hAnsi="Noto Sans" w:eastAsia="Noto Sans SC Thin"/>
              <w:color w:val="66708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6" w:space="5" w:color="D5DDE5"/>
      </w:pBdr>
    </w:pPr>
    <w:r>
      <w:rPr>
        <w:rFonts w:ascii="Noto Sans" w:hAnsi="Noto Sans" w:eastAsia="Noto Sans SC Thin"/>
        <w:b/>
        <w:color w:val="667085"/>
        <w:sz w:val="17"/>
      </w:rPr>
      <w:t>智办企业知识库  /  信息安全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" w:hAnsi="Noto Sans" w:eastAsia="Noto Sans SC Thi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Noto Sans SC Thi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 SC Thin"/>
      <w:b/>
      <w:bCs/>
      <w:color w:val="1F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信息安全与数据保护规范</dc:title>
  <dc:subject>RAG企业知识库 · 信息安全</dc:subject>
  <dc:creator>智办科技有限公司</dc:creator>
  <cp:keywords>RAG, 企业知识, 信息安全, 智办AI OA</cp:keywords>
  <dc:description>根据更新.sql中的oa_ai_source与oa_ai_source_chunk结构生成的示例知识文档。</dc:description>
  <cp:lastModifiedBy/>
  <cp:revision>1</cp:revision>
  <dcterms:created xsi:type="dcterms:W3CDTF">2013-12-23T23:15:00Z</dcterms:created>
  <dcterms:modified xsi:type="dcterms:W3CDTF">2013-12-23T23:15:00Z</dcterms:modified>
  <cp:category>信息安全</cp:category>
</cp:coreProperties>
</file>