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Noto Sans" w:hAnsi="Noto Sans" w:eastAsia="Noto Sans SC Thin"/>
          <w:b/>
          <w:color w:val="1F6D7A"/>
          <w:sz w:val="22"/>
        </w:rPr>
        <w:t>RAG 企业知识库  ·  人力资源</w:t>
      </w:r>
    </w:p>
    <w:p>
      <w:pPr>
        <w:spacing w:before="160" w:after="200"/>
      </w:pPr>
      <w:r>
        <w:rPr>
          <w:rFonts w:ascii="Noto Sans" w:hAnsi="Noto Sans" w:eastAsia="Noto Sans SC Thin"/>
          <w:b/>
          <w:color w:val="17365D"/>
          <w:sz w:val="54"/>
        </w:rPr>
        <w:t>人事考勤、休假与员工发展指南</w:t>
      </w:r>
    </w:p>
    <w:p>
      <w:pPr>
        <w:spacing w:after="360"/>
      </w:pPr>
      <w:r>
        <w:rPr>
          <w:rFonts w:ascii="Noto Sans" w:hAnsi="Noto Sans" w:eastAsia="Noto Sans SC Thin"/>
          <w:color w:val="667085"/>
          <w:sz w:val="22"/>
        </w:rPr>
        <w:t>说明考勤、请假、加班、出差、试用期、绩效、培训、调动、离职和员工信息保护的通用流程。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500"/>
        <w:gridCol w:w="6911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知识标题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人事考勤、休假与员工发展指南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category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人力资源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description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说明考勤、请假、加班、出差、试用期、绩效、培训、调动、离职和员工信息保护的通用流程。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适用对象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全体员工、各级管理者及行政人事人员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责任部门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行政人事部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access_scope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ALL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access_department_id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不适用（数据库中应为NULL）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min_role_level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1（普通员工及以上）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status / version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ENABLED / V1.0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编制日期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2026年7月21日</w:t>
            </w:r>
          </w:p>
        </w:tc>
      </w:tr>
    </w:tbl>
    <w:p>
      <w:pPr>
        <w:spacing w:before="280" w:after="80"/>
      </w:pPr>
      <w:r>
        <w:rPr>
          <w:rFonts w:ascii="Noto Sans" w:hAnsi="Noto Sans" w:eastAsia="Noto Sans SC Thin"/>
          <w:b/>
          <w:color w:val="2E74B5"/>
          <w:sz w:val="23"/>
        </w:rPr>
        <w:t>使用提示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本文件是面向智办AI OA演示环境的企业知识示例，可用于Word上传、全文解析、按标题分片和向量检索。正式发布前应由责任部门审核公司名称、金额标准、部门编号、审批节点和地域性规则；系统生成的文件路径、大小、哈希、解析状态和索引状态不写入正文。</w:t>
            </w:r>
          </w:p>
        </w:tc>
      </w:tr>
    </w:tbl>
    <w:p>
      <w:r>
        <w:br w:type="page"/>
      </w:r>
    </w:p>
    <w:p>
      <w:pPr>
        <w:pStyle w:val="Heading1"/>
      </w:pPr>
      <w:r>
        <w:t>文档目的与适用边界</w:t>
      </w:r>
    </w:p>
    <w:p>
      <w:pPr>
        <w:jc w:val="both"/>
      </w:pPr>
      <w:r>
        <w:t>本指南提供人事流程的统一知识入口。具体工作时间、假期天数、薪酬福利、加班补偿和地区政策必须以劳动合同、企业依法制定并公示的制度及适用法律为准，不能仅依据AI回答做最终判断。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检索边界：本知识文档只回答通用制度和操作原则，不存放账号口令、密钥、银行账号、未公开个人信息、客户商业秘密或具体案件材料。遇到审批冲突时，以OA中已生效的制度版本和授权记录为准。</w:t>
            </w:r>
          </w:p>
        </w:tc>
      </w:tr>
    </w:tbl>
    <w:p>
      <w:pPr>
        <w:pStyle w:val="Heading1"/>
      </w:pPr>
      <w:r>
        <w:t>知识目录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考勤与工作安排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请假、出差与加班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试用期与绩效沟通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学习、培训与职业发展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岗位变动与员工关系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离职与交接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员工个人信息保护</w:t>
      </w:r>
    </w:p>
    <w:p>
      <w:pPr>
        <w:pStyle w:val="Heading1"/>
      </w:pPr>
      <w:r>
        <w:t>考勤与工作安排</w:t>
      </w:r>
    </w:p>
    <w:p>
      <w:pPr>
        <w:jc w:val="both"/>
      </w:pPr>
      <w:r>
        <w:t>考勤记录用于反映出勤和工作安排，不应成为替代工作结果与管理沟通的唯一指标。</w:t>
      </w:r>
    </w:p>
    <w:p>
      <w:pPr>
        <w:pStyle w:val="Heading2"/>
      </w:pPr>
      <w:r>
        <w:t>员工基本责任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按约定时间和地点提供劳动，使用本人账号如实记录出勤。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迟到、早退、漏打卡、外出或远程安排按流程说明，禁止代打卡或伪造定位。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因系统故障无法记录时保留时间、地点和故障证据并及时申请更正。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管理者及时审核异常，既防止虚假记录，也避免机械拒绝合理情况。</w:t>
      </w:r>
    </w:p>
    <w:p>
      <w:pPr>
        <w:pStyle w:val="Heading2"/>
      </w:pPr>
      <w:r>
        <w:t>考勤更正</w:t>
      </w:r>
    </w:p>
    <w:p>
      <w:pPr>
        <w:jc w:val="both"/>
      </w:pPr>
      <w:r>
        <w:t>员工发现异常后在制度规定的期限内提交日期、时段、原因和证明，由直属负责人核实工作安排，人事复核规则。更正应保留原记录、申请、审批和结果，不能直接覆盖审计痕迹。</w:t>
      </w:r>
    </w:p>
    <w:p>
      <w:pPr>
        <w:pStyle w:val="Heading1"/>
      </w:pPr>
      <w:r>
        <w:t>请假、出差与加班</w:t>
      </w:r>
    </w:p>
    <w:p>
      <w:pPr>
        <w:jc w:val="both"/>
      </w:pPr>
      <w:r>
        <w:t>各类时间申请应尽量事前提交，紧急情况下先通知并在允许时限内补办。</w:t>
      </w:r>
    </w:p>
    <w:p>
      <w:pPr>
        <w:pStyle w:val="Heading2"/>
      </w:pPr>
      <w:r>
        <w:t>请假申请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选择正确假别，填写起止时间、工作交接和紧急联系方式。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仅提交制度或法律要求的必要证明，健康等敏感材料通过受控渠道提供。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审批人结合团队安排和制度判断，不得索取与请假无关的隐私。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假期变化、提前返回或延长时及时更新申请和交接。</w:t>
      </w:r>
    </w:p>
    <w:p>
      <w:pPr>
        <w:pStyle w:val="Heading2"/>
      </w:pPr>
      <w:r>
        <w:t>出差与外出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出差同时完成业务目的、地点、行程、预算和安全信息，按行政与财务流程协同。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客户现场或外出办公的工作时间记录按正式规则执行，避免重复记为请假。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海外或高风险地区出行应增加安全、保险、证件和数据合规评估。</w:t>
      </w:r>
    </w:p>
    <w:p>
      <w:pPr>
        <w:pStyle w:val="Heading2"/>
      </w:pPr>
      <w:r>
        <w:t>加班管理</w:t>
      </w:r>
    </w:p>
    <w:p>
      <w:pPr>
        <w:jc w:val="both"/>
      </w:pPr>
      <w:r>
        <w:t>加班应以真实业务需要和事前安排为基础，明确任务、预计时段和补偿方式。管理者应优先通过合理计划和资源配置减少不必要加班。员工不得虚报加班，管理者也不得要求员工以不记录时间的方式规避制度。</w:t>
      </w:r>
    </w:p>
    <w:p>
      <w:pPr>
        <w:pStyle w:val="Heading1"/>
      </w:pPr>
      <w:r>
        <w:t>试用期与绩效沟通</w:t>
      </w:r>
    </w:p>
    <w:p>
      <w:pPr>
        <w:jc w:val="both"/>
      </w:pPr>
      <w:r>
        <w:t>评价标准应提前明确、与岗位相关、可理解并有事实支持。</w:t>
      </w:r>
    </w:p>
    <w:p>
      <w:pPr>
        <w:pStyle w:val="Heading2"/>
      </w:pPr>
      <w:r>
        <w:t>试用期管理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入职初期确认岗位职责、试用期限、阶段目标、资源和评价标准。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至少开展阶段反馈，说明达成情况、差距、改进建议和支持措施。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目标因业务变化调整时应记录原因和新标准，不用事后新增标准否定既有工作。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转正或其他决定由有权人员基于完整事实和合法程序作出。</w:t>
      </w:r>
    </w:p>
    <w:p>
      <w:pPr>
        <w:pStyle w:val="Heading2"/>
      </w:pPr>
      <w:r>
        <w:t>绩效沟通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绩效目标与团队目标关联，兼顾结果、质量、协作、客户价值和安全合规。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评价引用可验证的交付、数据和反馈，区分客观环境、能力和行为。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员工有机会陈述、补充证据和提出复核；管理者不得以侮辱或公开羞辱方式反馈。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绩效结果的使用遵守正式制度，涉及薪酬、调岗或劳动关系时由人事复核。</w:t>
      </w:r>
    </w:p>
    <w:p>
      <w:pPr>
        <w:pStyle w:val="Heading1"/>
      </w:pPr>
      <w:r>
        <w:t>学习、培训与职业发展</w:t>
      </w:r>
    </w:p>
    <w:p>
      <w:pPr>
        <w:jc w:val="both"/>
      </w:pPr>
      <w:r>
        <w:t>培训应服务岗位能力和业务目标，并通过实践、分享或考核验证效果。</w:t>
      </w:r>
    </w:p>
    <w:p>
      <w:pPr>
        <w:pStyle w:val="Heading2"/>
      </w:pPr>
      <w:r>
        <w:t>培训类型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700"/>
        <w:gridCol w:w="6711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类型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主要内容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必修培训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入职、安全、保密、合规、消防及岗位必须掌握的规则。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岗位培训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业务流程、产品、技术、工具和质量标准。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管理培训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目标、反馈、招聘、绩效、风险和团队协作。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发展培训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专业深化、跨岗学习、导师制和后备能力建设。</w:t>
            </w:r>
          </w:p>
        </w:tc>
      </w:tr>
    </w:tbl>
    <w:p>
      <w:pPr>
        <w:spacing w:after="0"/>
      </w:pPr>
    </w:p>
    <w:p>
      <w:pPr>
        <w:pStyle w:val="Heading2"/>
      </w:pPr>
      <w:r>
        <w:t>外部培训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事前说明培训目的、费用、时间、成果和对工作的影响。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涉及培训服务期、费用返还或资格证书时，依法另行明确权利义务。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培训材料使用遵守版权和保密，不把第三方付费内容直接上传公共知识库。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完成后按要求分享、实践或提交成果，企业不以培训为由强制公开个人隐私。</w:t>
      </w:r>
    </w:p>
    <w:p>
      <w:pPr>
        <w:pStyle w:val="Heading1"/>
      </w:pPr>
      <w:r>
        <w:t>岗位变动与员工关系</w:t>
      </w:r>
    </w:p>
    <w:p>
      <w:pPr>
        <w:jc w:val="both"/>
      </w:pPr>
      <w:r>
        <w:t>调动和重大工作条件变化应有业务理由、沟通、授权和书面记录。</w:t>
      </w:r>
    </w:p>
    <w:p>
      <w:pPr>
        <w:pStyle w:val="Heading2"/>
      </w:pPr>
      <w:r>
        <w:t>转岗与调动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明确新岗位、职责、汇报关系、地点、目标、权限和生效时间。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评估是否涉及劳动合同变更、薪酬、工时、培训和合理过渡。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完成工作、文档、资产、账号和客户事项交接，旧权限及时回收。</w:t>
      </w:r>
    </w:p>
    <w:p>
      <w:pPr>
        <w:pStyle w:val="Heading2"/>
      </w:pPr>
      <w:r>
        <w:t>问题与申诉</w:t>
      </w:r>
    </w:p>
    <w:p>
      <w:pPr>
        <w:jc w:val="both"/>
      </w:pPr>
      <w:r>
        <w:t>员工可就考勤、假期、绩效、歧视骚扰、管理方式或制度适用提出咨询和申诉。处理人员应保护隐私、避免利益冲突、记录事实并及时反馈。禁止因员工善意咨询、投诉或参与调查而打击报复。</w:t>
      </w:r>
    </w:p>
    <w:p>
      <w:pPr>
        <w:pStyle w:val="Heading1"/>
      </w:pPr>
      <w:r>
        <w:t>离职与交接</w:t>
      </w:r>
    </w:p>
    <w:p>
      <w:pPr>
        <w:jc w:val="both"/>
      </w:pPr>
      <w:r>
        <w:t>离职流程保护员工合法权益，也保护业务连续性、资产、客户和信息安全。</w:t>
      </w:r>
    </w:p>
    <w:p>
      <w:pPr>
        <w:pStyle w:val="Heading2"/>
      </w:pPr>
      <w:r>
        <w:t>交接内容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在办任务、关键联系人、项目状态、风险、下一步和文档位置。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公司设备、门禁、证照、纸质资料、借款和其他资产。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系统账号、群组、授权、管理员角色、密钥和第三方平台；不得移交个人口令。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客户承诺、合同节点、应收应付、知识产权和保密事项。</w:t>
      </w:r>
    </w:p>
    <w:p>
      <w:pPr>
        <w:pStyle w:val="Heading2"/>
      </w:pPr>
      <w:r>
        <w:t>离职数据处理</w:t>
      </w:r>
    </w:p>
    <w:p>
      <w:pPr>
        <w:jc w:val="both"/>
      </w:pPr>
      <w:r>
        <w:t>员工不得在离职前批量下载、转发或删除公司资料。企业应按授权回收访问并保留必要业务记录，同时尊重个人隐私，不无范围复制私人内容。离职证明、薪酬结算和档案事项按法律和正式流程办理。</w:t>
      </w:r>
    </w:p>
    <w:p>
      <w:pPr>
        <w:pStyle w:val="Heading1"/>
      </w:pPr>
      <w:r>
        <w:t>员工个人信息保护</w:t>
      </w:r>
    </w:p>
    <w:p>
      <w:pPr>
        <w:jc w:val="both"/>
      </w:pPr>
      <w:r>
        <w:t>人事数据通常包含身份、联系、薪酬、健康和家庭信息，应实施更严格的访问与共享控制。</w:t>
      </w:r>
    </w:p>
    <w:p>
      <w:pPr>
        <w:pStyle w:val="Heading2"/>
      </w:pPr>
      <w:r>
        <w:t>人事信息处理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明确收集目的和必要字段，避免以备用为由过度收集。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薪酬、健康、证件和考核材料按职责授权，导出和共享留痕。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向社保、税务、保险、体检或招聘供应商提供信息前确认必要性和合同保护。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员工查询、更正或提出相关请求时，先核验身份并按流程处理。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达到保留期限后依法归档或安全删除，不将离职员工信息永久保留在普通工作群和表格。</w:t>
      </w:r>
    </w:p>
    <w:p>
      <w:pPr>
        <w:pStyle w:val="Heading1"/>
      </w:pPr>
      <w:r>
        <w:t>常见问题</w:t>
      </w:r>
    </w:p>
    <w:p>
      <w:pPr>
        <w:pStyle w:val="Heading2"/>
      </w:pPr>
      <w:r>
        <w:t>问：忘记打卡就一定算缺勤吗？</w:t>
      </w:r>
    </w:p>
    <w:p>
      <w:pPr>
        <w:jc w:val="both"/>
      </w:pPr>
      <w:r>
        <w:t>答：应按照考勤更正规则提交真实情况和必要证明，由负责人和人事核实。系统缺少记录是异常信号，不应在未核实事实时自动等同为旷工。</w:t>
      </w:r>
    </w:p>
    <w:p>
      <w:pPr>
        <w:pStyle w:val="Heading2"/>
      </w:pPr>
      <w:r>
        <w:t>问：请病假必须把完整病历发到群里吗？</w:t>
      </w:r>
    </w:p>
    <w:p>
      <w:pPr>
        <w:jc w:val="both"/>
      </w:pPr>
      <w:r>
        <w:t>答：不应。只提供制度和法律要求的必要证明，并通过受控渠道提交。群聊通常不是处理健康敏感信息的合适方式。</w:t>
      </w:r>
    </w:p>
    <w:p>
      <w:pPr>
        <w:pStyle w:val="Heading2"/>
      </w:pPr>
      <w:r>
        <w:t>问：领导临时安排晚上工作，需要先申请吗？</w:t>
      </w:r>
    </w:p>
    <w:p>
      <w:pPr>
        <w:jc w:val="both"/>
      </w:pPr>
      <w:r>
        <w:t>答：尽可能按加班规则事前确认；紧急事项应保留任务安排和实际时间并及时补办。具体是否认定及补偿方式以有效制度和适用法律为准。</w:t>
      </w:r>
    </w:p>
    <w:p>
      <w:pPr>
        <w:pStyle w:val="Heading2"/>
      </w:pPr>
      <w:r>
        <w:t>问：对绩效结果不同意怎么办？</w:t>
      </w:r>
    </w:p>
    <w:p>
      <w:pPr>
        <w:jc w:val="both"/>
      </w:pPr>
      <w:r>
        <w:t>答：在规定期限内提出复核，说明具体目标、事实、交付和争议点。复核人应避免利益冲突并给出有依据的结果。</w:t>
      </w:r>
    </w:p>
    <w:p>
      <w:pPr>
        <w:pStyle w:val="Heading2"/>
      </w:pPr>
      <w:r>
        <w:t>问：离职时可以带走自己写的代码作为作品集吗？</w:t>
      </w:r>
    </w:p>
    <w:p>
      <w:pPr>
        <w:jc w:val="both"/>
      </w:pPr>
      <w:r>
        <w:t>答：通常不可以直接带走公司源代码、客户信息或未公开文档。可以在不泄密、不侵权且经授权的范围内描述项目职责和公开成果。</w:t>
      </w:r>
    </w:p>
    <w:p>
      <w:pPr>
        <w:pStyle w:val="Heading1"/>
      </w:pPr>
      <w:r>
        <w:t>检索关键词</w:t>
      </w:r>
    </w:p>
    <w:p>
      <w:pPr>
        <w:spacing w:after="160"/>
      </w:pPr>
      <w:r>
        <w:t>人事、考勤、漏打卡、请假、病假、年休假、加班、出差、试用期、绩效、培训、转岗、申诉、离职、交接、员工个人信息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建议分片：优先按“一级标题 → 二级标题”切分；单个主题过长时再按自然段切分，并在metadata_json中保留category、section_title、access_scope、min_role_level、version与关键词。</w:t>
            </w:r>
          </w:p>
        </w:tc>
      </w:tr>
    </w:tbl>
    <w:p>
      <w:pPr>
        <w:pStyle w:val="Heading1"/>
      </w:pPr>
      <w:r>
        <w:t>依据与参考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《中华人民共和国劳动合同法》：https://sfj.beijing.gov.cn/sfj/sfdt/fzxc74/387021/index.html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最高人民法院劳动争议司法解释（二）发布信息：https://www.court.gov.cn/fabu/xiangqing/472691.html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《中华人民共和国个人信息保护法》发布说明：https://www.npc.gov.cn/c2/c30834/202108/t20210823_313130.html</w:t>
      </w:r>
    </w:p>
    <w:p>
      <w:pPr>
        <w:pStyle w:val="Heading1"/>
      </w:pPr>
      <w:r>
        <w:t>版本与维护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1600"/>
        <w:gridCol w:w="2400"/>
        <w:gridCol w:w="2700"/>
        <w:gridCol w:w="2711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日期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维护部门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V1.0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2026-07-21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行政人事部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根据RAG知识来源表结构生成示例初版，待企业审核后生效。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411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500"/>
      <w:gridCol w:w="2911"/>
    </w:tblGrid>
    <w:tr>
      <w:tc>
        <w:tcPr>
          <w:tcW w:type="dxa" w:w="650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r>
            <w:rPr>
              <w:rFonts w:ascii="Noto Sans" w:hAnsi="Noto Sans" w:eastAsia="Noto Sans SC Thin"/>
              <w:color w:val="667085"/>
              <w:sz w:val="16"/>
            </w:rPr>
            <w:t>内部知识资料 · 示例版</w:t>
          </w:r>
        </w:p>
      </w:tc>
      <w:tc>
        <w:tcPr>
          <w:tcW w:type="dxa" w:w="2911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Noto Sans" w:hAnsi="Noto Sans" w:eastAsia="Noto Sans SC Thin"/>
              <w:color w:val="667085"/>
              <w:sz w:val="16"/>
            </w:rPr>
            <w:t xml:space="preserve">第 </w:t>
          </w:r>
          <w:r>
            <w:rPr>
              <w:rFonts w:ascii="Noto Sans" w:hAnsi="Noto Sans" w:eastAsia="Noto Sans SC Thi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Noto Sans" w:hAnsi="Noto Sans" w:eastAsia="Noto Sans SC Thin"/>
              <w:color w:val="667085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6" w:space="5" w:color="D5DDE5"/>
      </w:pBdr>
    </w:pPr>
    <w:r>
      <w:rPr>
        <w:rFonts w:ascii="Noto Sans" w:hAnsi="Noto Sans" w:eastAsia="Noto Sans SC Thin"/>
        <w:b/>
        <w:color w:val="667085"/>
        <w:sz w:val="17"/>
      </w:rPr>
      <w:t>智办企业知识库  /  人力资源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Noto Sans" w:hAnsi="Noto Sans" w:eastAsia="Noto Sans SC Thi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" w:hAnsi="Noto Sans" w:eastAsia="Noto Sans SC Thi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 w:eastAsia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 w:eastAsia="Noto Sans SC Thin"/>
      <w:b/>
      <w:bCs/>
      <w:color w:val="1F6D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人事考勤、休假与员工发展指南</dc:title>
  <dc:subject>RAG企业知识库 · 人力资源</dc:subject>
  <dc:creator>智办科技有限公司</dc:creator>
  <cp:keywords>RAG, 企业知识, 人力资源, 智办AI OA</cp:keywords>
  <dc:description>根据更新.sql中的oa_ai_source与oa_ai_source_chunk结构生成的示例知识文档。</dc:description>
  <cp:lastModifiedBy/>
  <cp:revision>1</cp:revision>
  <dcterms:created xsi:type="dcterms:W3CDTF">2013-12-23T23:15:00Z</dcterms:created>
  <dcterms:modified xsi:type="dcterms:W3CDTF">2013-12-23T23:15:00Z</dcterms:modified>
  <cp:category>人力资源</cp:category>
</cp:coreProperties>
</file>