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97A61" w14:textId="2C8F6D19" w:rsidR="00195B3D" w:rsidRDefault="00195B3D" w:rsidP="00195B3D">
      <w:pPr>
        <w:spacing w:after="0"/>
        <w:rPr>
          <w:rFonts w:ascii="Times New Roman" w:hAnsi="Times New Roman" w:cs="Times New Roman"/>
          <w:sz w:val="28"/>
          <w:szCs w:val="28"/>
        </w:rPr>
      </w:pPr>
      <w:r>
        <w:rPr>
          <w:rFonts w:ascii="Times New Roman" w:hAnsi="Times New Roman" w:cs="Times New Roman"/>
          <w:sz w:val="28"/>
          <w:szCs w:val="28"/>
        </w:rPr>
        <w:t>FUTURE IMPROVEMENT</w:t>
      </w:r>
      <w:r w:rsidR="009C4A70">
        <w:rPr>
          <w:rFonts w:ascii="Times New Roman" w:hAnsi="Times New Roman" w:cs="Times New Roman"/>
          <w:sz w:val="28"/>
          <w:szCs w:val="28"/>
        </w:rPr>
        <w:t xml:space="preserve">S </w:t>
      </w:r>
    </w:p>
    <w:p w14:paraId="52CC2C31" w14:textId="77777777" w:rsidR="009C4A70" w:rsidRDefault="009C4A70" w:rsidP="00195B3D">
      <w:pPr>
        <w:spacing w:after="0"/>
        <w:rPr>
          <w:rFonts w:ascii="Times New Roman" w:hAnsi="Times New Roman" w:cs="Times New Roman"/>
          <w:sz w:val="28"/>
          <w:szCs w:val="28"/>
        </w:rPr>
      </w:pPr>
    </w:p>
    <w:p w14:paraId="3A5F4068" w14:textId="77777777" w:rsidR="009C4A70" w:rsidRDefault="009C4A70" w:rsidP="009C4A70">
      <w:pPr>
        <w:numPr>
          <w:ilvl w:val="0"/>
          <w:numId w:val="1"/>
        </w:numPr>
        <w:tabs>
          <w:tab w:val="left" w:pos="20"/>
          <w:tab w:val="left" w:pos="392"/>
        </w:tabs>
        <w:autoSpaceDE w:val="0"/>
        <w:autoSpaceDN w:val="0"/>
        <w:adjustRightInd w:val="0"/>
        <w:spacing w:after="0" w:line="240" w:lineRule="auto"/>
        <w:ind w:left="392" w:hanging="393"/>
        <w:rPr>
          <w:rFonts w:ascii="Times-Bold" w:hAnsi="Times-Bold" w:cs="Times-Bold"/>
          <w:b/>
          <w:bCs/>
          <w:color w:val="000000"/>
          <w:kern w:val="0"/>
        </w:rPr>
      </w:pPr>
      <w:r>
        <w:rPr>
          <w:rFonts w:ascii="Times-Bold" w:hAnsi="Times-Bold" w:cs="Times-Bold"/>
          <w:b/>
          <w:bCs/>
          <w:color w:val="000000"/>
          <w:kern w:val="0"/>
        </w:rPr>
        <w:t>Broad risk category limitation</w:t>
      </w:r>
    </w:p>
    <w:p w14:paraId="7336A4E7"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 xml:space="preserve">A key limitation of the current system is its reliance on broad risk categories, </w:t>
      </w:r>
      <w:proofErr w:type="gramStart"/>
      <w:r>
        <w:rPr>
          <w:rFonts w:ascii="Times-Roman" w:hAnsi="Times-Roman" w:cs="Times-Roman"/>
          <w:color w:val="000000"/>
          <w:kern w:val="0"/>
        </w:rPr>
        <w:t>where</w:t>
      </w:r>
      <w:proofErr w:type="gramEnd"/>
      <w:r>
        <w:rPr>
          <w:rFonts w:ascii="Times-Roman" w:hAnsi="Times-Roman" w:cs="Times-Roman"/>
          <w:color w:val="000000"/>
          <w:kern w:val="0"/>
        </w:rPr>
        <w:t xml:space="preserve"> patients</w:t>
      </w:r>
    </w:p>
    <w:p w14:paraId="12612AEE"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are grouped into high, medium, or low risk and assigned identical intervention plans within</w:t>
      </w:r>
    </w:p>
    <w:p w14:paraId="34B8AD6D"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each group. This approach overlooks the fact that patients classified within the same risk tier</w:t>
      </w:r>
    </w:p>
    <w:p w14:paraId="2BE1F495"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often have very different underlying causes of risk. For example, one patient’s risk may be</w:t>
      </w:r>
    </w:p>
    <w:p w14:paraId="1670C4A2" w14:textId="78AF639A"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driven by kidney dysfunction, while another may stem from polypharmacy or repeated</w:t>
      </w:r>
    </w:p>
    <w:p w14:paraId="7F343FC8"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ICU admissions. A more effective approach would identify the specific drivers of risk for</w:t>
      </w:r>
    </w:p>
    <w:p w14:paraId="127FE00F"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each individual and generate a small set of targeted, personalized interventions. Importantly,</w:t>
      </w:r>
    </w:p>
    <w:p w14:paraId="4EC3516D"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each recommendation should be accompanied by a clear, plain-language explanation to</w:t>
      </w:r>
    </w:p>
    <w:p w14:paraId="3617A25B"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ensure transparency and support clinical decision-making.</w:t>
      </w:r>
    </w:p>
    <w:p w14:paraId="43BC5C25"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p>
    <w:p w14:paraId="2C27BE2D" w14:textId="77777777" w:rsidR="009C4A70" w:rsidRDefault="009C4A70" w:rsidP="009C4A70">
      <w:pPr>
        <w:numPr>
          <w:ilvl w:val="0"/>
          <w:numId w:val="2"/>
        </w:numPr>
        <w:tabs>
          <w:tab w:val="left" w:pos="20"/>
          <w:tab w:val="left" w:pos="392"/>
        </w:tabs>
        <w:autoSpaceDE w:val="0"/>
        <w:autoSpaceDN w:val="0"/>
        <w:adjustRightInd w:val="0"/>
        <w:spacing w:after="0" w:line="240" w:lineRule="auto"/>
        <w:ind w:left="392" w:hanging="393"/>
        <w:rPr>
          <w:rFonts w:ascii="Times-Bold" w:hAnsi="Times-Bold" w:cs="Times-Bold"/>
          <w:b/>
          <w:bCs/>
          <w:color w:val="000000"/>
          <w:kern w:val="0"/>
        </w:rPr>
      </w:pPr>
      <w:r>
        <w:rPr>
          <w:rFonts w:ascii="Times-Bold" w:hAnsi="Times-Bold" w:cs="Times-Bold"/>
          <w:b/>
          <w:bCs/>
          <w:color w:val="000000"/>
          <w:kern w:val="0"/>
        </w:rPr>
        <w:t>Lack of patient behavioral data</w:t>
      </w:r>
    </w:p>
    <w:p w14:paraId="0BB789CF"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Another important gap is the absence of patient behavior in the current model. Patients with</w:t>
      </w:r>
    </w:p>
    <w:p w14:paraId="1B2E8C4A"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similar clinical profiles can have very different outcomes depending on how they engage</w:t>
      </w:r>
    </w:p>
    <w:p w14:paraId="63C8AE4D"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with their care after discharge. Some patients adhere closely to medications and follow-up</w:t>
      </w:r>
    </w:p>
    <w:p w14:paraId="24D39B63"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plans, while others do not. Incorporating behavioral indicators—such as prescription refill</w:t>
      </w:r>
    </w:p>
    <w:p w14:paraId="64FCEF84"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patterns, appointment attendance, and responsiveness to follow-up communication—would</w:t>
      </w:r>
    </w:p>
    <w:p w14:paraId="567D90E4"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allow the system to estimate a patient’s level of engagement. This “behavioral profile” could</w:t>
      </w:r>
    </w:p>
    <w:p w14:paraId="2A2C50EC"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help clinicians tailor the intensity and type of post-discharge support more effectively.</w:t>
      </w:r>
    </w:p>
    <w:p w14:paraId="01293C43"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p>
    <w:p w14:paraId="25F9979B" w14:textId="77777777" w:rsidR="009C4A70" w:rsidRDefault="009C4A70" w:rsidP="009C4A70">
      <w:pPr>
        <w:numPr>
          <w:ilvl w:val="0"/>
          <w:numId w:val="3"/>
        </w:numPr>
        <w:tabs>
          <w:tab w:val="left" w:pos="20"/>
          <w:tab w:val="left" w:pos="392"/>
        </w:tabs>
        <w:autoSpaceDE w:val="0"/>
        <w:autoSpaceDN w:val="0"/>
        <w:adjustRightInd w:val="0"/>
        <w:spacing w:after="0" w:line="240" w:lineRule="auto"/>
        <w:ind w:left="392" w:hanging="393"/>
        <w:rPr>
          <w:rFonts w:ascii="Times-Bold" w:hAnsi="Times-Bold" w:cs="Times-Bold"/>
          <w:b/>
          <w:bCs/>
          <w:color w:val="000000"/>
          <w:kern w:val="0"/>
        </w:rPr>
      </w:pPr>
      <w:r>
        <w:rPr>
          <w:rFonts w:ascii="Times-Bold" w:hAnsi="Times-Bold" w:cs="Times-Bold"/>
          <w:b/>
          <w:bCs/>
          <w:color w:val="000000"/>
          <w:kern w:val="0"/>
        </w:rPr>
        <w:t>Missing medical imaging insights</w:t>
      </w:r>
    </w:p>
    <w:p w14:paraId="7339D0CD"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The model also does not currently incorporate medical imaging data, despite its strong</w:t>
      </w:r>
    </w:p>
    <w:p w14:paraId="0C0C365C"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predictive value. Findings from chest X-rays or other imaging modalities—such as</w:t>
      </w:r>
    </w:p>
    <w:p w14:paraId="4B8E161A"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pulmonary edema or cardiomegaly—are known to be important indicators of readmission</w:t>
      </w:r>
    </w:p>
    <w:p w14:paraId="24F2C381"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risk. Rather than developing complex image-processing pipelines, a practical alternative is to</w:t>
      </w:r>
    </w:p>
    <w:p w14:paraId="10430076"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analyze radiology reports using natural language processing to extract key clinical findings.</w:t>
      </w:r>
    </w:p>
    <w:p w14:paraId="7575651D"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This approach captures critical information from imaging while remaining computationally</w:t>
      </w:r>
    </w:p>
    <w:p w14:paraId="33B4F6DB"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efficient and feasible within existing infrastructure.</w:t>
      </w:r>
    </w:p>
    <w:p w14:paraId="406F09FF"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p>
    <w:p w14:paraId="7EDF5EB0" w14:textId="77777777" w:rsidR="009C4A70" w:rsidRDefault="009C4A70" w:rsidP="009C4A70">
      <w:pPr>
        <w:numPr>
          <w:ilvl w:val="0"/>
          <w:numId w:val="4"/>
        </w:numPr>
        <w:tabs>
          <w:tab w:val="left" w:pos="20"/>
          <w:tab w:val="left" w:pos="392"/>
        </w:tabs>
        <w:autoSpaceDE w:val="0"/>
        <w:autoSpaceDN w:val="0"/>
        <w:adjustRightInd w:val="0"/>
        <w:spacing w:after="0" w:line="240" w:lineRule="auto"/>
        <w:ind w:left="392" w:hanging="393"/>
        <w:rPr>
          <w:rFonts w:ascii="Times-Bold" w:hAnsi="Times-Bold" w:cs="Times-Bold"/>
          <w:b/>
          <w:bCs/>
          <w:color w:val="000000"/>
          <w:kern w:val="0"/>
        </w:rPr>
      </w:pPr>
      <w:r>
        <w:rPr>
          <w:rFonts w:ascii="Times-Bold" w:hAnsi="Times-Bold" w:cs="Times-Bold"/>
          <w:b/>
          <w:bCs/>
          <w:color w:val="000000"/>
          <w:kern w:val="0"/>
        </w:rPr>
        <w:t>Underuse of family history</w:t>
      </w:r>
    </w:p>
    <w:p w14:paraId="5A408B15"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Family history represents another underutilized source of predictive information. Patients</w:t>
      </w:r>
    </w:p>
    <w:p w14:paraId="79249C49"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with a personal diagnosis and a corresponding family history of the same condition may face</w:t>
      </w:r>
    </w:p>
    <w:p w14:paraId="0C8C9FCC"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elevated risk due to genetic predisposition. Although this information is typically recorded in</w:t>
      </w:r>
    </w:p>
    <w:p w14:paraId="09DB1195"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unstructured clinical notes, future systems could use natural language processing to extract</w:t>
      </w:r>
    </w:p>
    <w:p w14:paraId="343E24A5"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relevant family history data. Incorporating this information would allow the model to better</w:t>
      </w:r>
    </w:p>
    <w:p w14:paraId="4F10AB87"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account for hereditary risk factors that influence recovery and long-term outcomes.</w:t>
      </w:r>
    </w:p>
    <w:p w14:paraId="4D912EDC"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p>
    <w:p w14:paraId="55BF9F70" w14:textId="77777777" w:rsidR="009C4A70" w:rsidRDefault="009C4A70" w:rsidP="009C4A70">
      <w:pPr>
        <w:numPr>
          <w:ilvl w:val="0"/>
          <w:numId w:val="5"/>
        </w:numPr>
        <w:tabs>
          <w:tab w:val="left" w:pos="20"/>
          <w:tab w:val="left" w:pos="392"/>
        </w:tabs>
        <w:autoSpaceDE w:val="0"/>
        <w:autoSpaceDN w:val="0"/>
        <w:adjustRightInd w:val="0"/>
        <w:spacing w:after="0" w:line="240" w:lineRule="auto"/>
        <w:ind w:left="392" w:hanging="393"/>
        <w:rPr>
          <w:rFonts w:ascii="Times-Bold" w:hAnsi="Times-Bold" w:cs="Times-Bold"/>
          <w:b/>
          <w:bCs/>
          <w:color w:val="000000"/>
          <w:kern w:val="0"/>
        </w:rPr>
      </w:pPr>
      <w:r>
        <w:rPr>
          <w:rFonts w:ascii="Times-Bold" w:hAnsi="Times-Bold" w:cs="Times-Bold"/>
          <w:b/>
          <w:bCs/>
          <w:color w:val="000000"/>
          <w:kern w:val="0"/>
        </w:rPr>
        <w:t>Dynamic risk tracking with AI follow-up calls:</w:t>
      </w:r>
    </w:p>
    <w:p w14:paraId="33546CA5" w14:textId="6A06C08F" w:rsidR="009C4A70" w:rsidRDefault="009C4A70" w:rsidP="009C4A70">
      <w:pPr>
        <w:autoSpaceDE w:val="0"/>
        <w:autoSpaceDN w:val="0"/>
        <w:adjustRightInd w:val="0"/>
        <w:spacing w:after="0" w:line="240" w:lineRule="auto"/>
        <w:rPr>
          <w:rFonts w:ascii="Times-Roman" w:hAnsi="Times-Roman" w:cs="Times-Roman"/>
          <w:color w:val="000000"/>
          <w:kern w:val="0"/>
          <w:sz w:val="26"/>
          <w:szCs w:val="26"/>
        </w:rPr>
      </w:pPr>
      <w:r>
        <w:rPr>
          <w:rFonts w:ascii="Times-Roman" w:hAnsi="Times-Roman" w:cs="Times-Roman"/>
          <w:color w:val="000000"/>
          <w:kern w:val="0"/>
          <w:sz w:val="26"/>
          <w:szCs w:val="26"/>
        </w:rPr>
        <w:t xml:space="preserve">Instead of giving patients a single risk score when they leave the ICU, the system keeps updating their risk over time as new information comes in. An AI-powered voice bot calls patients at set times after discharge (for example, after 24 hours, 72 hours, and 7 days) and asks simple health questions like whether they are taking their medications, feeling short of breath, or managing their pain. The system doesn’t just look at “yes” or “no” answers—it also analyzes how the patient speaks, including clarity, confidence, and tone, to detect possible warning signs. If a </w:t>
      </w:r>
      <w:proofErr w:type="gramStart"/>
      <w:r>
        <w:rPr>
          <w:rFonts w:ascii="Times-Roman" w:hAnsi="Times-Roman" w:cs="Times-Roman"/>
          <w:color w:val="000000"/>
          <w:kern w:val="0"/>
          <w:sz w:val="26"/>
          <w:szCs w:val="26"/>
        </w:rPr>
        <w:t>patient sounds</w:t>
      </w:r>
      <w:proofErr w:type="gramEnd"/>
      <w:r>
        <w:rPr>
          <w:rFonts w:ascii="Times-Roman" w:hAnsi="Times-Roman" w:cs="Times-Roman"/>
          <w:color w:val="000000"/>
          <w:kern w:val="0"/>
          <w:sz w:val="26"/>
          <w:szCs w:val="26"/>
        </w:rPr>
        <w:t xml:space="preserve"> confused or unwell, their risk score increases. If they report doing well and sound stable, their risk can decrease. The system also considers when patients don’t answer calls. Missing calls can be a warning sign, so the risk score is adjusted if a patient cannot be reached. If multiple calls are missed, the system can automatically alert a care team member or escalate to direct outreach. At the same time, it accounts for real-life challenges (like work schedules or limited phone access) to avoid unfairly penalizing </w:t>
      </w:r>
      <w:r w:rsidR="00F94ADF">
        <w:rPr>
          <w:rFonts w:ascii="Times-Roman" w:hAnsi="Times-Roman" w:cs="Times-Roman"/>
          <w:color w:val="000000"/>
          <w:kern w:val="0"/>
          <w:sz w:val="26"/>
          <w:szCs w:val="26"/>
        </w:rPr>
        <w:t>patients. Overall</w:t>
      </w:r>
      <w:r>
        <w:rPr>
          <w:rFonts w:ascii="Times-Roman" w:hAnsi="Times-Roman" w:cs="Times-Roman"/>
          <w:color w:val="000000"/>
          <w:kern w:val="0"/>
          <w:sz w:val="26"/>
          <w:szCs w:val="26"/>
        </w:rPr>
        <w:t>, this approach turns the system into a continuous monitoring tool that tracks patient recovery in real time and helps care teams respond earlier when risks start to increase.</w:t>
      </w:r>
    </w:p>
    <w:p w14:paraId="48D8D16E" w14:textId="77777777" w:rsidR="009C4A70" w:rsidRDefault="009C4A70" w:rsidP="009C4A70">
      <w:pPr>
        <w:autoSpaceDE w:val="0"/>
        <w:autoSpaceDN w:val="0"/>
        <w:adjustRightInd w:val="0"/>
        <w:spacing w:after="0" w:line="240" w:lineRule="auto"/>
        <w:rPr>
          <w:rFonts w:ascii="Helvetica Neue" w:hAnsi="Helvetica Neue" w:cs="Helvetica Neue"/>
          <w:color w:val="000000"/>
          <w:kern w:val="0"/>
          <w:sz w:val="26"/>
          <w:szCs w:val="26"/>
        </w:rPr>
      </w:pPr>
    </w:p>
    <w:p w14:paraId="40E73A7C" w14:textId="77777777" w:rsidR="009C4A70" w:rsidRDefault="009C4A70" w:rsidP="009C4A70">
      <w:pPr>
        <w:numPr>
          <w:ilvl w:val="0"/>
          <w:numId w:val="6"/>
        </w:numPr>
        <w:tabs>
          <w:tab w:val="left" w:pos="20"/>
          <w:tab w:val="left" w:pos="392"/>
        </w:tabs>
        <w:autoSpaceDE w:val="0"/>
        <w:autoSpaceDN w:val="0"/>
        <w:adjustRightInd w:val="0"/>
        <w:spacing w:after="0" w:line="240" w:lineRule="auto"/>
        <w:ind w:left="392" w:hanging="393"/>
        <w:rPr>
          <w:rFonts w:ascii="Times-Bold" w:hAnsi="Times-Bold" w:cs="Times-Bold"/>
          <w:b/>
          <w:bCs/>
          <w:color w:val="000000"/>
          <w:kern w:val="0"/>
        </w:rPr>
      </w:pPr>
      <w:r>
        <w:rPr>
          <w:rFonts w:ascii="Times-Bold" w:hAnsi="Times-Bold" w:cs="Times-Bold"/>
          <w:b/>
          <w:bCs/>
          <w:color w:val="000000"/>
          <w:kern w:val="0"/>
        </w:rPr>
        <w:t>Passive data from devices</w:t>
      </w:r>
    </w:p>
    <w:p w14:paraId="01BB7281"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Emerging approaches also include the use of passive data from everyday devices to detect</w:t>
      </w:r>
    </w:p>
    <w:p w14:paraId="0F246EF8"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early signs of clinical deterioration. Data from smartphones or wearable devices—such as</w:t>
      </w:r>
    </w:p>
    <w:p w14:paraId="03C1EB1A"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changes in mobility, activity levels, sleep patterns, or phone usage—can provide early</w:t>
      </w:r>
    </w:p>
    <w:p w14:paraId="4165081B"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signals of declining health. For example, a sudden reduction in daily movement or disrupted</w:t>
      </w:r>
    </w:p>
    <w:p w14:paraId="5BF4CE78"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sleep following discharge may indicate worsening condition. Because this data is collected</w:t>
      </w:r>
    </w:p>
    <w:p w14:paraId="59A1C98D"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passively, it offers a low-burden way to monitor patients who may otherwise be difficult to</w:t>
      </w:r>
    </w:p>
    <w:p w14:paraId="2EBE1F02"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engage.</w:t>
      </w:r>
    </w:p>
    <w:p w14:paraId="4EB86212"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p>
    <w:p w14:paraId="12973E49" w14:textId="77777777" w:rsidR="009C4A70" w:rsidRDefault="009C4A70" w:rsidP="009C4A70">
      <w:pPr>
        <w:numPr>
          <w:ilvl w:val="0"/>
          <w:numId w:val="7"/>
        </w:numPr>
        <w:tabs>
          <w:tab w:val="left" w:pos="20"/>
          <w:tab w:val="left" w:pos="392"/>
        </w:tabs>
        <w:autoSpaceDE w:val="0"/>
        <w:autoSpaceDN w:val="0"/>
        <w:adjustRightInd w:val="0"/>
        <w:spacing w:after="0" w:line="240" w:lineRule="auto"/>
        <w:ind w:left="392" w:hanging="393"/>
        <w:rPr>
          <w:rFonts w:ascii="Times-Bold" w:hAnsi="Times-Bold" w:cs="Times-Bold"/>
          <w:b/>
          <w:bCs/>
          <w:color w:val="000000"/>
          <w:kern w:val="0"/>
        </w:rPr>
      </w:pPr>
      <w:r>
        <w:rPr>
          <w:rFonts w:ascii="Times-Bold" w:hAnsi="Times-Bold" w:cs="Times-Bold"/>
          <w:b/>
          <w:bCs/>
          <w:color w:val="000000"/>
          <w:kern w:val="0"/>
        </w:rPr>
        <w:t>Digital twin modeling</w:t>
      </w:r>
    </w:p>
    <w:p w14:paraId="4F3D1FA8"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Another innovative direction is the development of a “digital twin” for each patient. A digital</w:t>
      </w:r>
    </w:p>
    <w:p w14:paraId="76F43F27"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twin is a virtual representation that simulates how a patient’s condition may evolve under</w:t>
      </w:r>
    </w:p>
    <w:p w14:paraId="1327B42E"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different scenarios. For instance, the system could model outcomes if a patient adheres to</w:t>
      </w:r>
    </w:p>
    <w:p w14:paraId="753809AC"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medications, misses follow-up appointments, or receives specific interventions. Rather than</w:t>
      </w:r>
    </w:p>
    <w:p w14:paraId="01D7F7D6"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simply predicting risk, this approach enables comparison of potential strategies and helps</w:t>
      </w:r>
    </w:p>
    <w:p w14:paraId="554B72E1"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 xml:space="preserve">identify the most effective intervention for </w:t>
      </w:r>
      <w:proofErr w:type="gramStart"/>
      <w:r>
        <w:rPr>
          <w:rFonts w:ascii="Times-Roman" w:hAnsi="Times-Roman" w:cs="Times-Roman"/>
          <w:color w:val="000000"/>
          <w:kern w:val="0"/>
        </w:rPr>
        <w:t>each individual</w:t>
      </w:r>
      <w:proofErr w:type="gramEnd"/>
      <w:r>
        <w:rPr>
          <w:rFonts w:ascii="Times-Roman" w:hAnsi="Times-Roman" w:cs="Times-Roman"/>
          <w:color w:val="000000"/>
          <w:kern w:val="0"/>
        </w:rPr>
        <w:t>. In this way, the system</w:t>
      </w:r>
    </w:p>
    <w:p w14:paraId="4A830D0A"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transitions from a predictive tool to a decision-support framework.</w:t>
      </w:r>
    </w:p>
    <w:p w14:paraId="2098074F"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p>
    <w:p w14:paraId="035D30E7" w14:textId="77777777" w:rsidR="009C4A70" w:rsidRDefault="009C4A70" w:rsidP="009C4A70">
      <w:pPr>
        <w:numPr>
          <w:ilvl w:val="0"/>
          <w:numId w:val="8"/>
        </w:numPr>
        <w:tabs>
          <w:tab w:val="left" w:pos="20"/>
          <w:tab w:val="left" w:pos="392"/>
        </w:tabs>
        <w:autoSpaceDE w:val="0"/>
        <w:autoSpaceDN w:val="0"/>
        <w:adjustRightInd w:val="0"/>
        <w:spacing w:after="0" w:line="240" w:lineRule="auto"/>
        <w:ind w:left="392" w:hanging="393"/>
        <w:rPr>
          <w:rFonts w:ascii="Times-Bold" w:hAnsi="Times-Bold" w:cs="Times-Bold"/>
          <w:b/>
          <w:bCs/>
          <w:color w:val="000000"/>
          <w:kern w:val="0"/>
        </w:rPr>
      </w:pPr>
      <w:r>
        <w:rPr>
          <w:rFonts w:ascii="Times-Bold" w:hAnsi="Times-Bold" w:cs="Times-Bold"/>
          <w:b/>
          <w:bCs/>
          <w:color w:val="000000"/>
          <w:kern w:val="0"/>
        </w:rPr>
        <w:t>Clinical uncertainty scoring</w:t>
      </w:r>
    </w:p>
    <w:p w14:paraId="2929C12C"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In addition to predicting risk, it is valuable to quantify the model’s confidence in its</w:t>
      </w:r>
    </w:p>
    <w:p w14:paraId="41E471C0"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predictions. A “clinical uncertainty score” would indicate how reliable a given risk estimate</w:t>
      </w:r>
    </w:p>
    <w:p w14:paraId="73ECB880"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is, based on factors such as data completeness and consistency. Some patients present clear</w:t>
      </w:r>
    </w:p>
    <w:p w14:paraId="5B6EF9F7"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and well-understood patterns, while others are more difficult to predict. Highlighting</w:t>
      </w:r>
    </w:p>
    <w:p w14:paraId="4B784F1F"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uncertainty allows clinicians to interpret model outputs more appropriately and may prompt</w:t>
      </w:r>
    </w:p>
    <w:p w14:paraId="618042A8"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closer attention to patients whose predictions are less certain.</w:t>
      </w:r>
    </w:p>
    <w:p w14:paraId="108A248A"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p>
    <w:p w14:paraId="1EA87F20" w14:textId="77777777" w:rsidR="009C4A70" w:rsidRDefault="009C4A70" w:rsidP="009C4A70">
      <w:pPr>
        <w:numPr>
          <w:ilvl w:val="0"/>
          <w:numId w:val="9"/>
        </w:numPr>
        <w:tabs>
          <w:tab w:val="left" w:pos="20"/>
          <w:tab w:val="left" w:pos="392"/>
        </w:tabs>
        <w:autoSpaceDE w:val="0"/>
        <w:autoSpaceDN w:val="0"/>
        <w:adjustRightInd w:val="0"/>
        <w:spacing w:after="0" w:line="240" w:lineRule="auto"/>
        <w:ind w:left="392" w:hanging="393"/>
        <w:rPr>
          <w:rFonts w:ascii="Times-Bold" w:hAnsi="Times-Bold" w:cs="Times-Bold"/>
          <w:b/>
          <w:bCs/>
          <w:color w:val="000000"/>
          <w:kern w:val="0"/>
        </w:rPr>
      </w:pPr>
      <w:r>
        <w:rPr>
          <w:rFonts w:ascii="Times-Bold" w:hAnsi="Times-Bold" w:cs="Times-Bold"/>
          <w:b/>
          <w:bCs/>
          <w:color w:val="000000"/>
          <w:kern w:val="0"/>
        </w:rPr>
        <w:t>Adaptive communication strategies</w:t>
      </w:r>
    </w:p>
    <w:p w14:paraId="4121C2EB"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Patient engagement may also be improved through adaptive communication strategies.</w:t>
      </w:r>
    </w:p>
    <w:p w14:paraId="473F9879"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Rather than using a uniform approach, the system could learn how different patients respond</w:t>
      </w:r>
    </w:p>
    <w:p w14:paraId="6DC93165"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to various communication styles, formats, and frequencies. Some patients may respond</w:t>
      </w:r>
    </w:p>
    <w:p w14:paraId="5A78EEEB"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better to concise, direct messages, while others may engage more with detailed or supportive</w:t>
      </w:r>
    </w:p>
    <w:p w14:paraId="6C72978B"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communication. Personalizing these interactions can enhance engagement without increasing</w:t>
      </w:r>
    </w:p>
    <w:p w14:paraId="032C981A"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the burden on healthcare providers.</w:t>
      </w:r>
    </w:p>
    <w:p w14:paraId="60D3C06F"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p>
    <w:p w14:paraId="0D266928" w14:textId="77777777" w:rsidR="00F94ADF" w:rsidRDefault="00F94ADF"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p>
    <w:p w14:paraId="368A5BDC" w14:textId="77777777" w:rsidR="009C4A70" w:rsidRDefault="009C4A70" w:rsidP="009C4A70">
      <w:pPr>
        <w:numPr>
          <w:ilvl w:val="0"/>
          <w:numId w:val="10"/>
        </w:numPr>
        <w:tabs>
          <w:tab w:val="left" w:pos="20"/>
          <w:tab w:val="left" w:pos="392"/>
        </w:tabs>
        <w:autoSpaceDE w:val="0"/>
        <w:autoSpaceDN w:val="0"/>
        <w:adjustRightInd w:val="0"/>
        <w:spacing w:after="0" w:line="240" w:lineRule="auto"/>
        <w:ind w:left="392" w:hanging="393"/>
        <w:rPr>
          <w:rFonts w:ascii="Times-Bold" w:hAnsi="Times-Bold" w:cs="Times-Bold"/>
          <w:b/>
          <w:bCs/>
          <w:color w:val="000000"/>
          <w:kern w:val="0"/>
        </w:rPr>
      </w:pPr>
      <w:r>
        <w:rPr>
          <w:rFonts w:ascii="Times-Bold" w:hAnsi="Times-Bold" w:cs="Times-Bold"/>
          <w:b/>
          <w:bCs/>
          <w:color w:val="000000"/>
          <w:kern w:val="0"/>
        </w:rPr>
        <w:t>Real-time clinician feedback</w:t>
      </w:r>
    </w:p>
    <w:p w14:paraId="74F2E93A"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Another promising direction is the integration of real-time clinician feedback into the</w:t>
      </w:r>
    </w:p>
    <w:p w14:paraId="25EA3BE6"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 xml:space="preserve">system. After receiving recommendations, clinicians could provide quick input on </w:t>
      </w:r>
      <w:proofErr w:type="gramStart"/>
      <w:r>
        <w:rPr>
          <w:rFonts w:ascii="Times-Roman" w:hAnsi="Times-Roman" w:cs="Times-Roman"/>
          <w:color w:val="000000"/>
          <w:kern w:val="0"/>
        </w:rPr>
        <w:t>their</w:t>
      </w:r>
      <w:proofErr w:type="gramEnd"/>
    </w:p>
    <w:p w14:paraId="2608BAB3"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relevance or usefulness. This feedback could then be used to continuously refine and</w:t>
      </w:r>
    </w:p>
    <w:p w14:paraId="37EF3E31"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improve the model over time. Unlike static systems, this approach allows the model to</w:t>
      </w:r>
    </w:p>
    <w:p w14:paraId="7031BD7B"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evolve based on real-world clinical experience, effectively combining machine learning with</w:t>
      </w:r>
    </w:p>
    <w:p w14:paraId="3F3F162A"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human expertise.</w:t>
      </w:r>
    </w:p>
    <w:p w14:paraId="7242141C"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p>
    <w:p w14:paraId="6C0A619E" w14:textId="77777777" w:rsidR="009C4A70" w:rsidRDefault="009C4A70" w:rsidP="009C4A70">
      <w:pPr>
        <w:numPr>
          <w:ilvl w:val="0"/>
          <w:numId w:val="11"/>
        </w:numPr>
        <w:tabs>
          <w:tab w:val="left" w:pos="20"/>
          <w:tab w:val="left" w:pos="392"/>
        </w:tabs>
        <w:autoSpaceDE w:val="0"/>
        <w:autoSpaceDN w:val="0"/>
        <w:adjustRightInd w:val="0"/>
        <w:spacing w:after="0" w:line="240" w:lineRule="auto"/>
        <w:ind w:left="392" w:hanging="393"/>
        <w:rPr>
          <w:rFonts w:ascii="Times-Bold" w:hAnsi="Times-Bold" w:cs="Times-Bold"/>
          <w:b/>
          <w:bCs/>
          <w:color w:val="000000"/>
          <w:kern w:val="0"/>
        </w:rPr>
      </w:pPr>
      <w:r>
        <w:rPr>
          <w:rFonts w:ascii="Times-Bold" w:hAnsi="Times-Bold" w:cs="Times-Bold"/>
          <w:b/>
          <w:bCs/>
          <w:color w:val="000000"/>
          <w:kern w:val="0"/>
        </w:rPr>
        <w:t>Environmental and temporal context</w:t>
      </w:r>
    </w:p>
    <w:p w14:paraId="654FD65E"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 xml:space="preserve"> Finally, incorporating environmental and temporal context can further improve prediction</w:t>
      </w:r>
    </w:p>
    <w:p w14:paraId="42DFCA9C"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accuracy and intervention planning. External factors such as weather conditions, seasonal</w:t>
      </w:r>
    </w:p>
    <w:p w14:paraId="1E6CA32F"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trends, and local events can significantly influence patient outcomes. For example, extreme</w:t>
      </w:r>
    </w:p>
    <w:p w14:paraId="48BCF3C0" w14:textId="77777777" w:rsidR="009C4A70" w:rsidRDefault="009C4A70" w:rsidP="009C4A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Roman" w:hAnsi="Times-Roman" w:cs="Times-Roman"/>
          <w:color w:val="000000"/>
          <w:kern w:val="0"/>
        </w:rPr>
      </w:pPr>
      <w:r>
        <w:rPr>
          <w:rFonts w:ascii="Times-Roman" w:hAnsi="Times-Roman" w:cs="Times-Roman"/>
          <w:color w:val="000000"/>
          <w:kern w:val="0"/>
        </w:rPr>
        <w:t>cold weather may limit mobility and access to care, while flu season may increase</w:t>
      </w:r>
      <w:r>
        <w:rPr>
          <w:rFonts w:ascii="Helvetica" w:hAnsi="Helvetica" w:cs="Helvetica"/>
          <w:color w:val="000000"/>
          <w:kern w:val="0"/>
        </w:rPr>
        <w:t xml:space="preserve"> </w:t>
      </w:r>
      <w:r>
        <w:rPr>
          <w:rFonts w:ascii="Times-Roman" w:hAnsi="Times-Roman" w:cs="Times-Roman"/>
          <w:color w:val="000000"/>
          <w:kern w:val="0"/>
        </w:rPr>
        <w:t>vulnerability for certain populations. Accounting for these contextual factors allows the</w:t>
      </w:r>
    </w:p>
    <w:p w14:paraId="072674BD" w14:textId="13DFF700" w:rsidR="009C4A70" w:rsidRPr="00195B3D" w:rsidRDefault="009C4A70" w:rsidP="009C4A70">
      <w:pPr>
        <w:spacing w:after="0"/>
        <w:rPr>
          <w:rFonts w:ascii="Times New Roman" w:hAnsi="Times New Roman" w:cs="Times New Roman"/>
          <w:sz w:val="28"/>
          <w:szCs w:val="28"/>
        </w:rPr>
      </w:pPr>
      <w:r>
        <w:rPr>
          <w:rFonts w:ascii="Times-Roman" w:hAnsi="Times-Roman" w:cs="Times-Roman"/>
          <w:color w:val="000000"/>
          <w:kern w:val="0"/>
        </w:rPr>
        <w:t>system to better reflect real-world conditions and adapt its recommendations accordingly.</w:t>
      </w:r>
    </w:p>
    <w:sectPr w:rsidR="009C4A70" w:rsidRPr="00195B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Bold">
    <w:altName w:val="Times New Roman"/>
    <w:panose1 w:val="020B0604020202020204"/>
    <w:charset w:val="00"/>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7"/>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9"/>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0"/>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30415506">
    <w:abstractNumId w:val="0"/>
  </w:num>
  <w:num w:numId="2" w16cid:durableId="1177574221">
    <w:abstractNumId w:val="1"/>
  </w:num>
  <w:num w:numId="3" w16cid:durableId="1853763846">
    <w:abstractNumId w:val="2"/>
  </w:num>
  <w:num w:numId="4" w16cid:durableId="1789660210">
    <w:abstractNumId w:val="3"/>
  </w:num>
  <w:num w:numId="5" w16cid:durableId="502207087">
    <w:abstractNumId w:val="4"/>
  </w:num>
  <w:num w:numId="6" w16cid:durableId="1524241717">
    <w:abstractNumId w:val="5"/>
  </w:num>
  <w:num w:numId="7" w16cid:durableId="919175079">
    <w:abstractNumId w:val="6"/>
  </w:num>
  <w:num w:numId="8" w16cid:durableId="2016036780">
    <w:abstractNumId w:val="7"/>
  </w:num>
  <w:num w:numId="9" w16cid:durableId="1522013270">
    <w:abstractNumId w:val="8"/>
  </w:num>
  <w:num w:numId="10" w16cid:durableId="1794860829">
    <w:abstractNumId w:val="9"/>
  </w:num>
  <w:num w:numId="11" w16cid:durableId="4860911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3D"/>
    <w:rsid w:val="00195B3D"/>
    <w:rsid w:val="001F257D"/>
    <w:rsid w:val="003428FC"/>
    <w:rsid w:val="009C4A70"/>
    <w:rsid w:val="009E2A3E"/>
    <w:rsid w:val="00F94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B4EFD5"/>
  <w15:chartTrackingRefBased/>
  <w15:docId w15:val="{7ACE7507-B1A1-7542-BC92-DD6FD23AE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B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B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B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B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B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B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B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B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B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B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B3D"/>
    <w:rPr>
      <w:rFonts w:eastAsiaTheme="majorEastAsia" w:cstheme="majorBidi"/>
      <w:color w:val="272727" w:themeColor="text1" w:themeTint="D8"/>
    </w:rPr>
  </w:style>
  <w:style w:type="paragraph" w:styleId="Title">
    <w:name w:val="Title"/>
    <w:basedOn w:val="Normal"/>
    <w:next w:val="Normal"/>
    <w:link w:val="TitleChar"/>
    <w:uiPriority w:val="10"/>
    <w:qFormat/>
    <w:rsid w:val="00195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B3D"/>
    <w:pPr>
      <w:spacing w:before="160"/>
      <w:jc w:val="center"/>
    </w:pPr>
    <w:rPr>
      <w:i/>
      <w:iCs/>
      <w:color w:val="404040" w:themeColor="text1" w:themeTint="BF"/>
    </w:rPr>
  </w:style>
  <w:style w:type="character" w:customStyle="1" w:styleId="QuoteChar">
    <w:name w:val="Quote Char"/>
    <w:basedOn w:val="DefaultParagraphFont"/>
    <w:link w:val="Quote"/>
    <w:uiPriority w:val="29"/>
    <w:rsid w:val="00195B3D"/>
    <w:rPr>
      <w:i/>
      <w:iCs/>
      <w:color w:val="404040" w:themeColor="text1" w:themeTint="BF"/>
    </w:rPr>
  </w:style>
  <w:style w:type="paragraph" w:styleId="ListParagraph">
    <w:name w:val="List Paragraph"/>
    <w:basedOn w:val="Normal"/>
    <w:uiPriority w:val="34"/>
    <w:qFormat/>
    <w:rsid w:val="00195B3D"/>
    <w:pPr>
      <w:ind w:left="720"/>
      <w:contextualSpacing/>
    </w:pPr>
  </w:style>
  <w:style w:type="character" w:styleId="IntenseEmphasis">
    <w:name w:val="Intense Emphasis"/>
    <w:basedOn w:val="DefaultParagraphFont"/>
    <w:uiPriority w:val="21"/>
    <w:qFormat/>
    <w:rsid w:val="00195B3D"/>
    <w:rPr>
      <w:i/>
      <w:iCs/>
      <w:color w:val="0F4761" w:themeColor="accent1" w:themeShade="BF"/>
    </w:rPr>
  </w:style>
  <w:style w:type="paragraph" w:styleId="IntenseQuote">
    <w:name w:val="Intense Quote"/>
    <w:basedOn w:val="Normal"/>
    <w:next w:val="Normal"/>
    <w:link w:val="IntenseQuoteChar"/>
    <w:uiPriority w:val="30"/>
    <w:qFormat/>
    <w:rsid w:val="00195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B3D"/>
    <w:rPr>
      <w:i/>
      <w:iCs/>
      <w:color w:val="0F4761" w:themeColor="accent1" w:themeShade="BF"/>
    </w:rPr>
  </w:style>
  <w:style w:type="character" w:styleId="IntenseReference">
    <w:name w:val="Intense Reference"/>
    <w:basedOn w:val="DefaultParagraphFont"/>
    <w:uiPriority w:val="32"/>
    <w:qFormat/>
    <w:rsid w:val="00195B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1102</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Dhruvkumar Tulsibhai Rathod</dc:creator>
  <cp:keywords/>
  <dc:description/>
  <cp:lastModifiedBy>Dhruvkumar Tulsibhai Rathod</cp:lastModifiedBy>
  <cp:revision>2</cp:revision>
  <dcterms:created xsi:type="dcterms:W3CDTF">2026-05-05T05:36:00Z</dcterms:created>
  <dcterms:modified xsi:type="dcterms:W3CDTF">2026-05-05T05:36:00Z</dcterms:modified>
</cp:coreProperties>
</file>