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Reducing 30-day hospital readmissions through targeting intervention based on likelihood score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On average hospitals operate between 2-4% operating profit margins within the United States (</w:t>
      </w:r>
      <w:hyperlink r:id="rId6">
        <w:r w:rsidDel="00000000" w:rsidR="00000000" w:rsidRPr="00000000">
          <w:rPr>
            <w:color w:val="1155cc"/>
            <w:u w:val="single"/>
            <w:rtl w:val="0"/>
          </w:rPr>
          <w:t xml:space="preserve">https://www.kaufmanhall.com/insights/research-report/national-hospital-flash-report-december-2025-data</w:t>
        </w:r>
      </w:hyperlink>
      <w:r w:rsidDel="00000000" w:rsidR="00000000" w:rsidRPr="00000000">
        <w:rPr>
          <w:rtl w:val="0"/>
        </w:rPr>
        <w:t xml:space="preserve">). This operating margin varies widely based on a number of factors including hospital size, operating region and payer mix. For this discussion, it is important to understand this operating margin as a factor in long term hospital viability, as the range of operating margin nationally lands within this tight window.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Centers for Medicare and Medicaid services since 2012 has employed a cost reduction program, Hospital Readmission Reduction Program (HRRP) for medicare, which specifically targets the reduction of 30-day readmissions for its covered population. </w:t>
      </w:r>
      <w:r w:rsidDel="00000000" w:rsidR="00000000" w:rsidRPr="00000000">
        <w:rPr>
          <w:color w:val="222222"/>
          <w:highlight w:val="white"/>
          <w:rtl w:val="0"/>
        </w:rPr>
        <w:t xml:space="preserve">Historically, through the HRRP program, the CMS can withhold up to 3% of reimbursements for readmissions within 30 days, which exceeds national standards</w:t>
      </w:r>
      <w:r w:rsidDel="00000000" w:rsidR="00000000" w:rsidRPr="00000000">
        <w:rPr>
          <w:rtl w:val="0"/>
        </w:rPr>
        <w:t xml:space="preserve">(https://www.mdpi.com/2227-9032/12/7/750). While this may not sound like much at the outset, however, the devil is in the details. Hospital readmissions for all payers is nearly 14% (https://hcup-us.ahrq.gov/reports/statbriefs/sb304-readmissions-2016-2020.jsp).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HRRP payment reduction methodology is fairly involved, taking into account many considerations. It is important to understand that the application of the 1-3% penalty for higher than average readmission rates is applied to the entire year payment for the affected hospital, not just on the each single readmission bill. Similarly many private insurance and state operated medicaid programs have similar policies in place that aim to reduce costs and drive better outcomes in the same way. Additionally, the Medicare Shared Savings Program Accountable Care Organizations may also benefit in reducing costs through the reduction of readmissions, and increasing revenue (https://pmc.ncbi.nlm.nih.gov/articles/PMC6146076/).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this way, hospitals need to maintain low readmission rates in order to maintain the already thin operating margins they enjoy. A 1-3% reduction in payments can have a catastrophic effect on profits when you consider operating margins of 2-4%,potentially cutting profit by half or more. With the case for reducing readmissions clear, we propose an automated risk scoring system at discharge, with targeted interventions and suggested clinical reviews, aimed at reducing or eliminating hospital readmissions.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ufmanhall.com/insights/research-report/national-hospital-flash-report-december-2025-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