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center"/>
      </w:pPr>
      <w:r>
        <w:rPr>
          <w:rFonts w:ascii="Arial" w:cs="Arial" w:eastAsia="Arial" w:hAnsi="Arial"/>
          <w:b/>
          <w:bCs/>
          <w:sz w:val="48"/>
          <w:szCs w:val="48"/>
        </w:rPr>
        <w:t xml:space="preserve">ICU Discharge Risk &amp; Intervention Bot (IDRIB)</w:t>
      </w:r>
    </w:p>
    <w:p>
      <w:pPr>
        <w:spacing w:after="80" w:before="0"/>
        <w:jc w:val="center"/>
      </w:pPr>
      <w:r>
        <w:rPr>
          <w:rFonts w:ascii="Arial" w:cs="Arial" w:eastAsia="Arial" w:hAnsi="Arial"/>
          <w:sz w:val="30"/>
          <w:szCs w:val="30"/>
        </w:rPr>
        <w:t xml:space="preserve">Scoring Engine — Technical Write-Up</w:t>
      </w:r>
    </w:p>
    <w:p>
      <w:pPr>
        <w:spacing w:after="360" w:before="0"/>
        <w:jc w:val="center"/>
      </w:pPr>
      <w:r>
        <w:rPr>
          <w:rFonts w:ascii="Arial" w:cs="Arial" w:eastAsia="Arial" w:hAnsi="Arial"/>
          <w:sz w:val="20"/>
          <w:szCs w:val="20"/>
        </w:rPr>
        <w:t xml:space="preserve">MS Health Informatics  |  Hofstra University  |  MIMIC-IV Demo v2.2  |  April 2026</w:t>
      </w:r>
    </w:p>
    <w:p>
      <w:pPr>
        <w:pBdr>
          <w:top w:val="single" w:color="000000" w:sz="6"/>
          <w:bottom w:val="single" w:color="000000" w:sz="6"/>
        </w:pBdr>
        <w:spacing w:after="480" w:before="0"/>
        <w:jc w:val="left"/>
      </w:pPr>
      <w:r>
        <w:rPr>
          <w:rFonts w:ascii="Arial" w:cs="Arial" w:eastAsia="Arial" w:hAnsi="Arial"/>
          <w:b/>
          <w:bCs/>
          <w:sz w:val="22"/>
          <w:szCs w:val="22"/>
        </w:rPr>
        <w:t xml:space="preserve">Research Question: "Can a machine learning model, using available structured ICU data, classify patients into readmission risk categories and highlight the most important contributing factors?"</w:t>
      </w:r>
    </w:p>
    <w:p>
      <w:pPr>
        <w:spacing w:after="200" w:before="0"/>
      </w:pPr>
      <w:r>
        <w:t xml:space="preserve"/>
      </w:r>
    </w:p>
    <w:p>
      <w:pPr>
        <w:pStyle w:val="Heading1"/>
        <w:pBdr>
          <w:bottom w:val="single" w:color="000000" w:sz="5" w:space="1"/>
        </w:pBdr>
        <w:spacing w:after="140" w:before="360"/>
      </w:pPr>
      <w:r>
        <w:rPr>
          <w:rFonts w:ascii="Arial" w:cs="Arial" w:eastAsia="Arial" w:hAnsi="Arial"/>
          <w:b/>
          <w:bCs/>
          <w:sz w:val="28"/>
          <w:szCs w:val="28"/>
        </w:rPr>
        <w:t xml:space="preserve">1.  What This Project Does and Why It Matters</w:t>
      </w:r>
    </w:p>
    <w:p>
      <w:pPr>
        <w:spacing w:after="100" w:before="60"/>
      </w:pPr>
      <w:r>
        <w:rPr>
          <w:rFonts w:ascii="Arial" w:cs="Arial" w:eastAsia="Arial" w:hAnsi="Arial"/>
          <w:sz w:val="22"/>
          <w:szCs w:val="22"/>
        </w:rPr>
        <w:t xml:space="preserve">ICU patients who return to hospital within 30, 60, or 90 days of discharge account for significant preventable harm and cost. Most discharge decisions today rely on clinical intuition, with no standardised data-driven tool to identify which specific patients need intensified follow-up. IDRIB fills that gap.</w:t>
      </w:r>
    </w:p>
    <w:p>
      <w:pPr>
        <w:spacing w:after="100" w:before="60"/>
      </w:pPr>
      <w:r>
        <w:rPr>
          <w:rFonts w:ascii="Arial" w:cs="Arial" w:eastAsia="Arial" w:hAnsi="Arial"/>
          <w:sz w:val="22"/>
          <w:szCs w:val="22"/>
        </w:rPr>
        <w:t xml:space="preserve">The scoring engine is the foundation of the system. At the moment of each patient's discharge, it reads their clinical records, computes 39 measurements across seven categories, and outputs a risk score from 0 to 100 and a risk tier — Low, Medium, or High. That tier drives an automated intervention protocol. This document explains every step: the data, the methodology, every decision made, every number produced, and every chart generated.</w:t>
      </w:r>
    </w:p>
    <w:p>
      <w:pPr>
        <w:spacing w:after="100" w:before="60"/>
      </w:pPr>
      <w:r>
        <w:rPr>
          <w:rFonts w:ascii="Arial" w:cs="Arial" w:eastAsia="Arial" w:hAnsi="Arial"/>
          <w:b/>
          <w:bCs/>
          <w:sz w:val="22"/>
          <w:szCs w:val="22"/>
        </w:rPr>
        <w:t xml:space="preserve">Important framing: </w:t>
      </w:r>
      <w:r>
        <w:rPr>
          <w:rFonts w:ascii="Arial" w:cs="Arial" w:eastAsia="Arial" w:hAnsi="Arial"/>
          <w:sz w:val="22"/>
          <w:szCs w:val="22"/>
        </w:rPr>
        <w:t xml:space="preserve">This is a proof of concept trained on 100 patients. The methodology is production-ready and the results are honest. Performance will improve significantly on the full 65,000-patient MIMIC-IV dataset.</w:t>
      </w:r>
    </w:p>
    <w:p>
      <w:pPr>
        <w:spacing w:after="100" w:before="0"/>
      </w:pPr>
      <w:r>
        <w:t xml:space="preserve"/>
      </w:r>
    </w:p>
    <w:p>
      <w:pPr>
        <w:pStyle w:val="Heading1"/>
        <w:pBdr>
          <w:bottom w:val="single" w:color="000000" w:sz="5" w:space="1"/>
        </w:pBdr>
        <w:spacing w:after="140" w:before="360"/>
      </w:pPr>
      <w:r>
        <w:rPr>
          <w:rFonts w:ascii="Arial" w:cs="Arial" w:eastAsia="Arial" w:hAnsi="Arial"/>
          <w:b/>
          <w:bCs/>
          <w:sz w:val="28"/>
          <w:szCs w:val="28"/>
        </w:rPr>
        <w:t xml:space="preserve">2.  The Data</w:t>
      </w:r>
    </w:p>
    <w:p>
      <w:pPr>
        <w:pStyle w:val="Heading2"/>
        <w:spacing w:after="80" w:before="220"/>
      </w:pPr>
      <w:r>
        <w:rPr>
          <w:rFonts w:ascii="Arial" w:cs="Arial" w:eastAsia="Arial" w:hAnsi="Arial"/>
          <w:b/>
          <w:bCs/>
          <w:sz w:val="24"/>
          <w:szCs w:val="24"/>
        </w:rPr>
        <w:t xml:space="preserve">2.1  Dataset</w:t>
      </w:r>
    </w:p>
    <w:p>
      <w:pPr>
        <w:spacing w:after="100" w:before="60"/>
      </w:pPr>
      <w:r>
        <w:rPr>
          <w:rFonts w:ascii="Arial" w:cs="Arial" w:eastAsia="Arial" w:hAnsi="Arial"/>
          <w:sz w:val="22"/>
          <w:szCs w:val="22"/>
        </w:rPr>
        <w:t xml:space="preserve">We used the MIMIC-IV Demo, a publicly available, de-identified subset of the MIMIC-IV database built from real patient records at Beth Israel Deaconess Medical Center, Boston (2008–2022). It contains 100 patients and 140 ICU stays. Some patients had more than one ICU admission, which is why stays exceed patients.</w:t>
      </w:r>
    </w:p>
    <w:p>
      <w:pPr>
        <w:spacing w:after="100" w:before="60"/>
      </w:pPr>
      <w:r>
        <w:rPr>
          <w:rFonts w:ascii="Arial" w:cs="Arial" w:eastAsia="Arial" w:hAnsi="Arial"/>
          <w:sz w:val="22"/>
          <w:szCs w:val="22"/>
        </w:rPr>
        <w:t xml:space="preserve">MIMIC-IV mirrors the structure of Epic and Cerner, the dominant hospital EHR systems in the United States. Everything built here translates directly to real hospital data.</w:t>
      </w:r>
    </w:p>
    <w:p>
      <w:pPr>
        <w:spacing w:after="100" w:before="0"/>
      </w:pPr>
      <w:r>
        <w:t xml:space="preserve"/>
      </w:r>
    </w:p>
    <w:p>
      <w:pPr>
        <w:pStyle w:val="Heading2"/>
        <w:spacing w:after="80" w:before="220"/>
      </w:pPr>
      <w:r>
        <w:rPr>
          <w:rFonts w:ascii="Arial" w:cs="Arial" w:eastAsia="Arial" w:hAnsi="Arial"/>
          <w:b/>
          <w:bCs/>
          <w:sz w:val="24"/>
          <w:szCs w:val="24"/>
        </w:rPr>
        <w:t xml:space="preserve">2.2  The Seven Tables Used</w:t>
      </w:r>
    </w:p>
    <w:p>
      <w:pPr>
        <w:spacing w:after="100" w:before="60"/>
      </w:pPr>
      <w:r>
        <w:rPr>
          <w:rFonts w:ascii="Arial" w:cs="Arial" w:eastAsia="Arial" w:hAnsi="Arial"/>
          <w:sz w:val="22"/>
          <w:szCs w:val="22"/>
        </w:rPr>
        <w:t xml:space="preserve">Seven tables were combined, linked by patient and admission identifiers. Over 800,000 individual clinical records were processed.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W w:type="dxa" w:w="26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Table</w:t>
            </w:r>
          </w:p>
        </w:tc>
        <w:tc>
          <w:tcPr>
            <w:tcW w:type="dxa" w:w="476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What It Contains</w:t>
            </w:r>
          </w:p>
        </w:tc>
        <w:tc>
          <w:tcPr>
            <w:tcW w:type="dxa" w:w="20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Records</w:t>
            </w:r>
          </w:p>
        </w:tc>
      </w:tr>
      <w:tr>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admissions.csv</w:t>
            </w:r>
          </w:p>
        </w:tc>
        <w:tc>
          <w:tcPr>
            <w:tcW w:type="dxa" w:w="4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Hospital admission details: insurance, discharge location</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275</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patients.csv</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Demographics: age, gender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100</w:t>
            </w:r>
          </w:p>
        </w:tc>
      </w:tr>
      <w:tr>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icustays.csv</w:t>
            </w:r>
          </w:p>
        </w:tc>
        <w:tc>
          <w:tcPr>
            <w:tcW w:type="dxa" w:w="4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ICU entry/exit times, care unit</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140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diagnoses_icd.csv</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ICD-10 diagnosis codes per admission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4,506</w:t>
            </w:r>
          </w:p>
        </w:tc>
      </w:tr>
      <w:tr>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labevents.csv</w:t>
            </w:r>
          </w:p>
        </w:tc>
        <w:tc>
          <w:tcPr>
            <w:tcW w:type="dxa" w:w="4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Lab test results: creatinine, WBC, lactate, etc.</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107,727</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prescriptions.csv</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Medication orders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18,087</w:t>
            </w:r>
          </w:p>
        </w:tc>
      </w:tr>
      <w:tr>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chartevents.csv</w:t>
            </w:r>
          </w:p>
        </w:tc>
        <w:tc>
          <w:tcPr>
            <w:tcW w:type="dxa" w:w="4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Vital sign recordings: heart rate, BP, O2, respiratory rate</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668,862</w:t>
            </w:r>
          </w:p>
        </w:tc>
      </w:tr>
    </w:tbl>
    <w:p>
      <w:pPr>
        <w:spacing w:after="100" w:before="0"/>
      </w:pPr>
      <w:r>
        <w:t xml:space="preserve"/>
      </w:r>
    </w:p>
    <w:p>
      <w:pPr>
        <w:pStyle w:val="Heading1"/>
        <w:pBdr>
          <w:bottom w:val="single" w:color="000000" w:sz="5" w:space="1"/>
        </w:pBdr>
        <w:spacing w:after="140" w:before="360"/>
      </w:pPr>
      <w:r>
        <w:rPr>
          <w:rFonts w:ascii="Arial" w:cs="Arial" w:eastAsia="Arial" w:hAnsi="Arial"/>
          <w:b/>
          <w:bCs/>
          <w:sz w:val="28"/>
          <w:szCs w:val="28"/>
        </w:rPr>
        <w:t xml:space="preserve">3.  Defining the Target: What Are We Predicting?</w:t>
      </w:r>
    </w:p>
    <w:p>
      <w:pPr>
        <w:spacing w:after="100" w:before="60"/>
      </w:pPr>
      <w:r>
        <w:rPr>
          <w:rFonts w:ascii="Arial" w:cs="Arial" w:eastAsia="Arial" w:hAnsi="Arial"/>
          <w:sz w:val="22"/>
          <w:szCs w:val="22"/>
        </w:rPr>
        <w:t xml:space="preserve">For each ICU discharge, we checked whether that patient was re-admitted to hospital within 30, 60, or 90 days. This became the label the model learns from: 1 for readmitted, 0 for not readmitted.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4760"/>
      </w:tblGrid>
      <w:tr>
        <w:tc>
          <w:tcPr>
            <w:tcW w:type="dxa" w:w="16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Window</w:t>
            </w:r>
          </w:p>
        </w:tc>
        <w:tc>
          <w:tcPr>
            <w:tcW w:type="dxa" w:w="18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Readmissions</w:t>
            </w:r>
          </w:p>
        </w:tc>
        <w:tc>
          <w:tcPr>
            <w:tcW w:type="dxa" w:w="12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Rate</w:t>
            </w:r>
          </w:p>
        </w:tc>
        <w:tc>
          <w:tcPr>
            <w:tcW w:type="dxa" w:w="476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Clinical Purpose</w:t>
            </w:r>
          </w:p>
        </w:tc>
      </w:tr>
      <w:tr>
        <w:tc>
          <w:tcPr>
            <w:tcW w:type="dxa" w:w="1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30-day (primary)</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21 of 140</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15.0%</w:t>
            </w:r>
          </w:p>
        </w:tc>
        <w:tc>
          <w:tcPr>
            <w:tcW w:type="dxa" w:w="4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Most actionable — acute complications, medication failures, poor discharge planning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60-day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23 of 140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16.4%</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Captures delayed deterioration</w:t>
            </w:r>
          </w:p>
        </w:tc>
      </w:tr>
      <w:tr>
        <w:tc>
          <w:tcPr>
            <w:tcW w:type="dxa" w:w="1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90-day</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25 of 140</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17.9%</w:t>
            </w:r>
          </w:p>
        </w:tc>
        <w:tc>
          <w:tcPr>
            <w:tcW w:type="dxa" w:w="4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Chronic disease-driven returns — strongest model window</w:t>
            </w:r>
          </w:p>
        </w:tc>
      </w:tr>
    </w:tbl>
    <w:p>
      <w:pPr>
        <w:spacing w:after="100" w:before="0"/>
      </w:pPr>
      <w:r>
        <w:t xml:space="preserve"/>
      </w:r>
    </w:p>
    <w:p>
      <w:pPr>
        <w:spacing w:after="100" w:before="60"/>
      </w:pPr>
      <w:r>
        <w:rPr>
          <w:rFonts w:ascii="Arial" w:cs="Arial" w:eastAsia="Arial" w:hAnsi="Arial"/>
          <w:b/>
          <w:bCs/>
          <w:sz w:val="22"/>
          <w:szCs w:val="22"/>
        </w:rPr>
        <w:t xml:space="preserve">Class imbalance: </w:t>
      </w:r>
      <w:r>
        <w:rPr>
          <w:rFonts w:ascii="Arial" w:cs="Arial" w:eastAsia="Arial" w:hAnsi="Arial"/>
          <w:sz w:val="22"/>
          <w:szCs w:val="22"/>
        </w:rPr>
        <w:t xml:space="preserve">85% of patients did not readmit. 15% did. This is the core modelling challenge. A model that predicts "no readmission" for every patient is right 85% of the time but clinically useless — it catches zero high-risk patients. This is addressed through SMOTE (Section 6). A missed high-risk patient is always more dangerous than an unnecessary follow-up call.</w:t>
      </w:r>
    </w:p>
    <w:p>
      <w:pPr>
        <w:spacing w:after="100" w:before="0"/>
      </w:pPr>
      <w:r>
        <w:t xml:space="preserve"/>
      </w:r>
    </w:p>
    <w:p>
      <w:pPr>
        <w:pageBreakBefore/>
      </w:pPr>
      <w:r>
        <w:t xml:space="preserve"/>
      </w:r>
    </w:p>
    <w:p>
      <w:pPr>
        <w:pStyle w:val="Heading1"/>
        <w:pBdr>
          <w:bottom w:val="single" w:color="000000" w:sz="5" w:space="1"/>
        </w:pBdr>
        <w:spacing w:after="140" w:before="360"/>
      </w:pPr>
      <w:r>
        <w:rPr>
          <w:rFonts w:ascii="Arial" w:cs="Arial" w:eastAsia="Arial" w:hAnsi="Arial"/>
          <w:b/>
          <w:bCs/>
          <w:sz w:val="28"/>
          <w:szCs w:val="28"/>
        </w:rPr>
        <w:t xml:space="preserve">4.  The 39 Features — What the Model Examines</w:t>
      </w:r>
    </w:p>
    <w:p>
      <w:pPr>
        <w:spacing w:after="100" w:before="60"/>
      </w:pPr>
      <w:r>
        <w:rPr>
          <w:rFonts w:ascii="Arial" w:cs="Arial" w:eastAsia="Arial" w:hAnsi="Arial"/>
          <w:sz w:val="22"/>
          <w:szCs w:val="22"/>
        </w:rPr>
        <w:t xml:space="preserve">A feature is a clinical measurement the model uses to make its prediction. We built 39 features across nine groups. All nine feature groups recommended in the professor's feedback are present. Additional features were added per the original project proposal.</w:t>
      </w:r>
    </w:p>
    <w:p>
      <w:pPr>
        <w:spacing w:after="100" w:before="0"/>
      </w:pPr>
      <w:r>
        <w:t xml:space="preserve"/>
      </w:r>
    </w:p>
    <w:p>
      <w:pPr>
        <w:pStyle w:val="Heading2"/>
        <w:spacing w:after="80" w:before="220"/>
      </w:pPr>
      <w:r>
        <w:rPr>
          <w:rFonts w:ascii="Arial" w:cs="Arial" w:eastAsia="Arial" w:hAnsi="Arial"/>
          <w:b/>
          <w:bCs/>
          <w:sz w:val="24"/>
          <w:szCs w:val="24"/>
        </w:rPr>
        <w:t xml:space="preserve">Group 1: Demographics  (4 features)  —  Source: patients.csv, admissions.csv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Feature</w:t>
            </w:r>
          </w:p>
        </w:tc>
        <w:tc>
          <w:tcPr>
            <w:tcW w:type="dxa" w:w="30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What It Measures</w:t>
            </w:r>
          </w:p>
        </w:tc>
        <w:tc>
          <w:tcPr>
            <w:tcW w:type="dxa" w:w="396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Why It Predicts Readmission</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Age</w:t>
            </w:r>
          </w:p>
        </w:tc>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Patient age at ICU stay</w:t>
            </w:r>
          </w:p>
        </w:tc>
        <w:tc>
          <w:tcPr>
            <w:tcW w:type="dxa" w:w="3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Older patients have more comorbidities and fewer home support resources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Gender (male=1)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Sex encoded as binary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Statistical association in dataset — not a causal claim</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Medicare insurance</w:t>
            </w:r>
          </w:p>
        </w:tc>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1 if Medicare, 0 otherwise</w:t>
            </w:r>
          </w:p>
        </w:tc>
        <w:tc>
          <w:tcPr>
            <w:tcW w:type="dxa" w:w="3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Proxy for age and disability status; these patients carry higher baseline risk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Discharged home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1 if sent home, 0 if to facility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Patients not going home are sicker; facility discharge correlates with higher readmission</w:t>
            </w:r>
          </w:p>
        </w:tc>
      </w:tr>
    </w:tbl>
    <w:p>
      <w:pPr>
        <w:spacing w:after="100" w:before="60"/>
      </w:pPr>
      <w:r>
        <w:rPr>
          <w:rFonts w:ascii="Arial" w:cs="Arial" w:eastAsia="Arial" w:hAnsi="Arial"/>
          <w:b/>
          <w:bCs/>
          <w:sz w:val="22"/>
          <w:szCs w:val="22"/>
        </w:rPr>
        <w:t xml:space="preserve">Fairness note: </w:t>
      </w:r>
      <w:r>
        <w:rPr>
          <w:rFonts w:ascii="Arial" w:cs="Arial" w:eastAsia="Arial" w:hAnsi="Arial"/>
          <w:sz w:val="22"/>
          <w:szCs w:val="22"/>
        </w:rPr>
        <w:t xml:space="preserve">Gender and insurance reflect statistical associations in this dataset, not causal relationships. Feature importance must not be used to make assumptions about individual patients.</w:t>
      </w:r>
    </w:p>
    <w:p>
      <w:pPr>
        <w:spacing w:after="100" w:before="0"/>
      </w:pPr>
      <w:r>
        <w:t xml:space="preserve"/>
      </w:r>
    </w:p>
    <w:p>
      <w:pPr>
        <w:pStyle w:val="Heading2"/>
        <w:spacing w:after="80" w:before="220"/>
      </w:pPr>
      <w:r>
        <w:rPr>
          <w:rFonts w:ascii="Arial" w:cs="Arial" w:eastAsia="Arial" w:hAnsi="Arial"/>
          <w:b/>
          <w:bCs/>
          <w:sz w:val="24"/>
          <w:szCs w:val="24"/>
        </w:rPr>
        <w:t xml:space="preserve">Group 2: ICU Stay  (2 features)  —  Source: icustays.csv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Feature</w:t>
            </w:r>
          </w:p>
        </w:tc>
        <w:tc>
          <w:tcPr>
            <w:tcW w:type="dxa" w:w="30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What It Measures</w:t>
            </w:r>
          </w:p>
        </w:tc>
        <w:tc>
          <w:tcPr>
            <w:tcW w:type="dxa" w:w="356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Why It Predicts Readmission</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ICU length of stay (days)</w:t>
            </w:r>
          </w:p>
        </w:tc>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Days from admission to discharge</w:t>
            </w:r>
          </w:p>
        </w:tc>
        <w:tc>
          <w:tcPr>
            <w:tcW w:type="dxa" w:w="3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Longer stays indicate more serious illness; patients may still be recovering at discharge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Prior ICU admissions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Count of previous ICU stays for same patient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Strongest single predictor in published literature. Repeat patients carry structural risk.</w:t>
            </w:r>
          </w:p>
        </w:tc>
      </w:tr>
    </w:tbl>
    <w:p>
      <w:pPr>
        <w:spacing w:after="100" w:before="60"/>
      </w:pPr>
      <w:r>
        <w:rPr>
          <w:rFonts w:ascii="Arial" w:cs="Arial" w:eastAsia="Arial" w:hAnsi="Arial"/>
          <w:sz w:val="22"/>
          <w:szCs w:val="22"/>
        </w:rPr>
        <w:t xml:space="preserve">In our cohort: maximum prior admissions = 4, mean = 0.4.</w:t>
      </w:r>
    </w:p>
    <w:p>
      <w:pPr>
        <w:spacing w:after="100" w:before="0"/>
      </w:pPr>
      <w:r>
        <w:t xml:space="preserve"/>
      </w:r>
    </w:p>
    <w:p>
      <w:pPr>
        <w:pStyle w:val="Heading2"/>
        <w:spacing w:after="80" w:before="220"/>
      </w:pPr>
      <w:r>
        <w:rPr>
          <w:rFonts w:ascii="Arial" w:cs="Arial" w:eastAsia="Arial" w:hAnsi="Arial"/>
          <w:b/>
          <w:bCs/>
          <w:sz w:val="24"/>
          <w:szCs w:val="24"/>
        </w:rPr>
        <w:t xml:space="preserve">Group 3: Comorbidity Flags  (8 features)  —  Source: diagnoses_icd.csv</w:t>
      </w:r>
    </w:p>
    <w:p>
      <w:pPr>
        <w:spacing w:after="100" w:before="60"/>
      </w:pPr>
      <w:r>
        <w:rPr>
          <w:rFonts w:ascii="Arial" w:cs="Arial" w:eastAsia="Arial" w:hAnsi="Arial"/>
          <w:sz w:val="22"/>
          <w:szCs w:val="22"/>
        </w:rPr>
        <w:t xml:space="preserve">We flagged six chronic conditions by searching ICD-10 diagnosis codes, plus two count-based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760"/>
        <w:gridCol w:w="2900"/>
      </w:tblGrid>
      <w:tr>
        <w:tc>
          <w:tcPr>
            <w:tcW w:type="dxa" w:w="22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Feature</w:t>
            </w:r>
          </w:p>
        </w:tc>
        <w:tc>
          <w:tcPr>
            <w:tcW w:type="dxa" w:w="24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Condition</w:t>
            </w:r>
          </w:p>
        </w:tc>
        <w:tc>
          <w:tcPr>
            <w:tcW w:type="dxa" w:w="176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ICD-10 Prefix</w:t>
            </w:r>
          </w:p>
        </w:tc>
        <w:tc>
          <w:tcPr>
            <w:tcW w:type="dxa" w:w="29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Clinical Significance</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has_chf</w:t>
            </w:r>
          </w:p>
        </w:tc>
        <w:tc>
          <w:tcPr>
            <w:tcW w:type="dxa" w:w="2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Congestive Heart Failure</w:t>
            </w:r>
          </w:p>
        </w:tc>
        <w:tc>
          <w:tcPr>
            <w:tcW w:type="dxa" w:w="1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I50</w:t>
            </w:r>
          </w:p>
        </w:tc>
        <w:tc>
          <w:tcPr>
            <w:tcW w:type="dxa" w:w="2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Frequent readmissions due to fluid overload and medication management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has_ckd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Chronic Kidney Disease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N18</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Kidney function often deteriorates post-ICU</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has_copd</w:t>
            </w:r>
          </w:p>
        </w:tc>
        <w:tc>
          <w:tcPr>
            <w:tcW w:type="dxa" w:w="2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COPD</w:t>
            </w:r>
          </w:p>
        </w:tc>
        <w:tc>
          <w:tcPr>
            <w:tcW w:type="dxa" w:w="1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J44</w:t>
            </w:r>
          </w:p>
        </w:tc>
        <w:tc>
          <w:tcPr>
            <w:tcW w:type="dxa" w:w="2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Vulnerable to respiratory crises requiring re-hospitalisation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has_diabetes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Type 2 Diabetes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E11</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Complicates recovery from almost every co-existing condition</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has_sepsis</w:t>
            </w:r>
          </w:p>
        </w:tc>
        <w:tc>
          <w:tcPr>
            <w:tcW w:type="dxa" w:w="2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Sepsis</w:t>
            </w:r>
          </w:p>
        </w:tc>
        <w:tc>
          <w:tcPr>
            <w:tcW w:type="dxa" w:w="1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A41</w:t>
            </w:r>
          </w:p>
        </w:tc>
        <w:tc>
          <w:tcPr>
            <w:tcW w:type="dxa" w:w="2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Lasting organ damage increases future risk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has_pneumonia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Pneumonia</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J18</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Elderly patients especially prone to repeated respiratory admission</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Comorbidity score</w:t>
            </w:r>
          </w:p>
        </w:tc>
        <w:tc>
          <w:tcPr>
            <w:tcW w:type="dxa" w:w="2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Sum of above six flags</w:t>
            </w:r>
          </w:p>
        </w:tc>
        <w:tc>
          <w:tcPr>
            <w:tcW w:type="dxa" w:w="1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w:t>
            </w:r>
          </w:p>
        </w:tc>
        <w:tc>
          <w:tcPr>
            <w:tcW w:type="dxa" w:w="2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0–6 composite burden score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ICD code count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Total unique diagnoses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Higher count = greater illness complexity</w:t>
            </w:r>
          </w:p>
        </w:tc>
      </w:tr>
    </w:tbl>
    <w:p>
      <w:pPr>
        <w:spacing w:after="100" w:before="0"/>
      </w:pPr>
      <w:r>
        <w:t xml:space="preserve"/>
      </w:r>
    </w:p>
    <w:p>
      <w:pPr>
        <w:pStyle w:val="Heading2"/>
        <w:spacing w:after="80" w:before="220"/>
      </w:pPr>
      <w:r>
        <w:rPr>
          <w:rFonts w:ascii="Arial" w:cs="Arial" w:eastAsia="Arial" w:hAnsi="Arial"/>
          <w:b/>
          <w:bCs/>
          <w:sz w:val="24"/>
          <w:szCs w:val="24"/>
        </w:rPr>
        <w:t xml:space="preserve">Group 4: Elixhauser Comorbidity Score  (1 feature)  —  Source: diagnoses_icd.csv</w:t>
      </w:r>
    </w:p>
    <w:p>
      <w:pPr>
        <w:spacing w:after="100" w:before="60"/>
      </w:pPr>
      <w:r>
        <w:rPr>
          <w:rFonts w:ascii="Arial" w:cs="Arial" w:eastAsia="Arial" w:hAnsi="Arial"/>
          <w:sz w:val="22"/>
          <w:szCs w:val="22"/>
        </w:rPr>
        <w:t xml:space="preserve">A validated clinical index that maps ICD-10 codes to six disease categories (heart failure, arrhythmia, renal failure, liver disease, cancer, depression) and produces a single numeric score. Specifically named in the project proposal. Mean score in our cohort: 0.7. Maximum: 5.</w:t>
      </w:r>
    </w:p>
    <w:p>
      <w:pPr>
        <w:spacing w:after="100" w:before="0"/>
      </w:pPr>
      <w:r>
        <w:t xml:space="preserve"/>
      </w:r>
    </w:p>
    <w:p>
      <w:pPr>
        <w:pStyle w:val="Heading2"/>
        <w:spacing w:after="80" w:before="220"/>
      </w:pPr>
      <w:r>
        <w:rPr>
          <w:rFonts w:ascii="Arial" w:cs="Arial" w:eastAsia="Arial" w:hAnsi="Arial"/>
          <w:b/>
          <w:bCs/>
          <w:sz w:val="24"/>
          <w:szCs w:val="24"/>
        </w:rPr>
        <w:t xml:space="preserve">Group 5: Ventilation &amp; Vasopressors  (2 features)  —  Sources: chartevents.csv, prescriptions.csv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c>
          <w:tcPr>
            <w:tcW w:type="dxa" w:w="24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Feature</w:t>
            </w:r>
          </w:p>
        </w:tc>
        <w:tc>
          <w:tcPr>
            <w:tcW w:type="dxa" w:w="476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Definition</w:t>
            </w:r>
          </w:p>
        </w:tc>
        <w:tc>
          <w:tcPr>
            <w:tcW w:type="dxa" w:w="22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Result in Our Cohort</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ventilation_flag</w:t>
            </w:r>
          </w:p>
        </w:tc>
        <w:tc>
          <w:tcPr>
            <w:tcW w:type="dxa" w:w="4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1 if patient was on mechanical ventilator during ICU stay. Detected via chartevents item IDs.</w:t>
            </w:r>
          </w:p>
        </w:tc>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91 patients (65%) ventilated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vasopressor_flag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1 if patient received vasopressor drugs (norepinephrine, dopamine, epinephrine, vasopressin, phenylephrine, dobutamine). Detected via drug name in prescriptions.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70 patients (50%) received vasopressors</w:t>
            </w:r>
          </w:p>
        </w:tc>
      </w:tr>
    </w:tbl>
    <w:p>
      <w:pPr>
        <w:spacing w:after="100" w:before="60"/>
      </w:pPr>
      <w:r>
        <w:rPr>
          <w:rFonts w:ascii="Arial" w:cs="Arial" w:eastAsia="Arial" w:hAnsi="Arial"/>
          <w:sz w:val="22"/>
          <w:szCs w:val="22"/>
        </w:rPr>
        <w:t xml:space="preserve">Both are markers of severe critical illness. Patients who required these interventions carry significantly elevated discharge risk. Both features were explicitly specified in the project proposal.</w:t>
      </w:r>
    </w:p>
    <w:p>
      <w:pPr>
        <w:spacing w:after="100" w:before="0"/>
      </w:pPr>
      <w:r>
        <w:t xml:space="preserve"/>
      </w:r>
    </w:p>
    <w:p>
      <w:pPr>
        <w:pStyle w:val="Heading2"/>
        <w:spacing w:after="80" w:before="220"/>
      </w:pPr>
      <w:r>
        <w:rPr>
          <w:rFonts w:ascii="Arial" w:cs="Arial" w:eastAsia="Arial" w:hAnsi="Arial"/>
          <w:b/>
          <w:bCs/>
          <w:sz w:val="24"/>
          <w:szCs w:val="24"/>
        </w:rPr>
        <w:t xml:space="preserve">Group 6: Lab Values at Discharge  (6 features)  —  Source: labevents.csv</w:t>
      </w:r>
    </w:p>
    <w:p>
      <w:pPr>
        <w:spacing w:after="100" w:before="60"/>
      </w:pPr>
      <w:r>
        <w:rPr>
          <w:rFonts w:ascii="Arial" w:cs="Arial" w:eastAsia="Arial" w:hAnsi="Arial"/>
          <w:sz w:val="22"/>
          <w:szCs w:val="22"/>
        </w:rPr>
        <w:t xml:space="preserve">Last recorded value before discharge for six key blood tests. The final reading reflects the patient's state at the exact moment the discharge decision was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60"/>
        <w:gridCol w:w="4000"/>
      </w:tblGrid>
      <w:tr>
        <w:tc>
          <w:tcPr>
            <w:tcW w:type="dxa" w:w="26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Feature</w:t>
            </w:r>
          </w:p>
        </w:tc>
        <w:tc>
          <w:tcPr>
            <w:tcW w:type="dxa" w:w="276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What It Measures</w:t>
            </w:r>
          </w:p>
        </w:tc>
        <w:tc>
          <w:tcPr>
            <w:tcW w:type="dxa" w:w="40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Abnormal Value Means</w:t>
            </w:r>
          </w:p>
        </w:tc>
      </w:tr>
      <w:tr>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Creatinine (item 50912)</w:t>
            </w:r>
          </w:p>
        </w:tc>
        <w:tc>
          <w:tcPr>
            <w:tcW w:type="dxa" w:w="2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Kidney filtration waste product</w:t>
            </w:r>
          </w:p>
        </w:tc>
        <w:tc>
          <w:tcPr>
            <w:tcW w:type="dxa" w:w="4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Elevated = kidneys not fully recovered; likely to worsen at home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WBC (item 51301)</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White blood cell count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High = active infection or inflammation not fully resolved</w:t>
            </w:r>
          </w:p>
        </w:tc>
      </w:tr>
      <w:tr>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Lactate (item 50813)</w:t>
            </w:r>
          </w:p>
        </w:tc>
        <w:tc>
          <w:tcPr>
            <w:tcW w:type="dxa" w:w="2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Tissue oxygen delivery marker</w:t>
            </w:r>
          </w:p>
        </w:tc>
        <w:tc>
          <w:tcPr>
            <w:tcW w:type="dxa" w:w="4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Elevated = ongoing organ stress or shock physiology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Hemoglobin (item 51222)</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Oxygen-carrying protein in red blood cells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Low = anaemia; patient fatigues easily, more vulnerable to complications</w:t>
            </w:r>
          </w:p>
        </w:tc>
      </w:tr>
      <w:tr>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Sodium (item 50983)</w:t>
            </w:r>
          </w:p>
        </w:tc>
        <w:tc>
          <w:tcPr>
            <w:tcW w:type="dxa" w:w="2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Electrolyte balance</w:t>
            </w:r>
          </w:p>
        </w:tc>
        <w:tc>
          <w:tcPr>
            <w:tcW w:type="dxa" w:w="4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Abnormal = dehydration or fluid imbalance requiring monitoring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BUN (item 51006)</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Kidney and hydration status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High BUN + high creatinine = stronger kidney distress signal</w:t>
            </w:r>
          </w:p>
        </w:tc>
      </w:tr>
    </w:tbl>
    <w:p>
      <w:pPr>
        <w:spacing w:after="100" w:before="60"/>
      </w:pPr>
      <w:r>
        <w:rPr>
          <w:rFonts w:ascii="Arial" w:cs="Arial" w:eastAsia="Arial" w:hAnsi="Arial"/>
          <w:sz w:val="22"/>
          <w:szCs w:val="22"/>
        </w:rPr>
        <w:t xml:space="preserve">Missing data: lactate was missing for 21 patients (15%), the highest rate of any feature. All missing values handled by median imputation — described in Section 5.</w:t>
      </w:r>
    </w:p>
    <w:p>
      <w:pPr>
        <w:spacing w:after="100" w:before="0"/>
      </w:pPr>
      <w:r>
        <w:t xml:space="preserve"/>
      </w:r>
    </w:p>
    <w:p>
      <w:pPr>
        <w:pStyle w:val="Heading2"/>
        <w:spacing w:after="80" w:before="220"/>
      </w:pPr>
      <w:r>
        <w:rPr>
          <w:rFonts w:ascii="Arial" w:cs="Arial" w:eastAsia="Arial" w:hAnsi="Arial"/>
          <w:b/>
          <w:bCs/>
          <w:sz w:val="24"/>
          <w:szCs w:val="24"/>
        </w:rPr>
        <w:t xml:space="preserve">Group 7: Vital Signs — Last 24 Hours  (4 features)  —  Source: chartevents.csv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Feature</w:t>
            </w:r>
          </w:p>
        </w:tc>
        <w:tc>
          <w:tcPr>
            <w:tcW w:type="dxa" w:w="24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Statistic</w:t>
            </w:r>
          </w:p>
        </w:tc>
        <w:tc>
          <w:tcPr>
            <w:tcW w:type="dxa" w:w="416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Clinical Note</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Heart rate mean</w:t>
            </w:r>
          </w:p>
        </w:tc>
        <w:tc>
          <w:tcPr>
            <w:tcW w:type="dxa" w:w="2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Average over final 24 hrs</w:t>
            </w:r>
          </w:p>
        </w:tc>
        <w:tc>
          <w:tcPr>
            <w:tcW w:type="dxa" w:w="41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Persistent tachycardia (fast heart rate) at discharge is a cardiovascular warning sign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Systolic BP mean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Average over final 24 hrs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Abnormal BP signals circulatory instability</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O2 saturation minimum</w:t>
            </w:r>
          </w:p>
        </w:tc>
        <w:tc>
          <w:tcPr>
            <w:tcW w:type="dxa" w:w="2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Lowest reading in final 24 hrs</w:t>
            </w:r>
          </w:p>
        </w:tc>
        <w:tc>
          <w:tcPr>
            <w:tcW w:type="dxa" w:w="41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One episode of severe hypoxia matters more than the average — worst reading is used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Respiratory rate mean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Average over final 24 hrs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Abnormal breathing rate is the top SHAP predictor in our model</w:t>
            </w:r>
          </w:p>
        </w:tc>
      </w:tr>
    </w:tbl>
    <w:p>
      <w:pPr>
        <w:spacing w:after="100" w:before="0"/>
      </w:pPr>
      <w:r>
        <w:t xml:space="preserve"/>
      </w:r>
    </w:p>
    <w:p>
      <w:pPr>
        <w:pStyle w:val="Heading2"/>
        <w:spacing w:after="80" w:before="220"/>
      </w:pPr>
      <w:r>
        <w:rPr>
          <w:rFonts w:ascii="Arial" w:cs="Arial" w:eastAsia="Arial" w:hAnsi="Arial"/>
          <w:b/>
          <w:bCs/>
          <w:sz w:val="24"/>
          <w:szCs w:val="24"/>
        </w:rPr>
        <w:t xml:space="preserve">Group 8: Time-Series Trends  (11 features)  —  Sources: chartevents.csv, labevents.csv</w:t>
      </w:r>
    </w:p>
    <w:p>
      <w:pPr>
        <w:spacing w:after="100" w:before="60"/>
      </w:pPr>
      <w:r>
        <w:rPr>
          <w:rFonts w:ascii="Arial" w:cs="Arial" w:eastAsia="Arial" w:hAnsi="Arial"/>
          <w:b/>
          <w:bCs/>
          <w:sz w:val="22"/>
          <w:szCs w:val="22"/>
        </w:rPr>
        <w:t xml:space="preserve">Why trends matter: </w:t>
      </w:r>
      <w:r>
        <w:rPr>
          <w:rFonts w:ascii="Arial" w:cs="Arial" w:eastAsia="Arial" w:hAnsi="Arial"/>
          <w:sz w:val="22"/>
          <w:szCs w:val="22"/>
        </w:rPr>
        <w:t xml:space="preserve">A creatinine of 2.0 at discharge could mean recovery (it was 3.5 at admission) or deterioration (it was 1.2 at admission). The final value cannot distinguish these. The trend can.</w:t>
      </w:r>
    </w:p>
    <w:p>
      <w:pPr>
        <w:spacing w:after="100" w:before="60"/>
      </w:pPr>
      <w:r>
        <w:rPr>
          <w:rFonts w:ascii="Arial" w:cs="Arial" w:eastAsia="Arial" w:hAnsi="Arial"/>
          <w:sz w:val="22"/>
          <w:szCs w:val="22"/>
        </w:rPr>
        <w:t xml:space="preserve">For the four vital signs above plus creatinine, WBC, and lactate, we computed the slope (linear regression across all recordings) and the standard deviation (variability) over the full ICU stay. A positive slope = worsening. A negative slope = improving. High variability = instability, which is itself a risk factor.</w:t>
      </w:r>
    </w:p>
    <w:p>
      <w:pPr>
        <w:spacing w:after="100" w:before="60"/>
      </w:pPr>
      <w:r>
        <w:rPr>
          <w:rFonts w:ascii="Arial" w:cs="Arial" w:eastAsia="Arial" w:hAnsi="Arial"/>
          <w:sz w:val="22"/>
          <w:szCs w:val="22"/>
        </w:rPr>
        <w:t xml:space="preserve">This produced 11 features: trend and variability for four vital signs (8 features) plus trend for three labs (3 features).</w:t>
      </w:r>
    </w:p>
    <w:p>
      <w:pPr>
        <w:spacing w:after="100" w:before="0"/>
      </w:pPr>
      <w:r>
        <w:t xml:space="preserve"/>
      </w:r>
    </w:p>
    <w:p>
      <w:pPr>
        <w:pStyle w:val="Heading2"/>
        <w:spacing w:after="80" w:before="220"/>
      </w:pPr>
      <w:r>
        <w:rPr>
          <w:rFonts w:ascii="Arial" w:cs="Arial" w:eastAsia="Arial" w:hAnsi="Arial"/>
          <w:b/>
          <w:bCs/>
          <w:sz w:val="24"/>
          <w:szCs w:val="24"/>
        </w:rPr>
        <w:t xml:space="preserve">Group 9: Medication Count  (1 feature)  —  Source: prescriptions.csv</w:t>
      </w:r>
    </w:p>
    <w:p>
      <w:pPr>
        <w:spacing w:after="100" w:before="60"/>
      </w:pPr>
      <w:r>
        <w:rPr>
          <w:rFonts w:ascii="Arial" w:cs="Arial" w:eastAsia="Arial" w:hAnsi="Arial"/>
          <w:sz w:val="22"/>
          <w:szCs w:val="22"/>
        </w:rPr>
        <w:t xml:space="preserve">Count of unique medications prescribed during the admission. Mean in our cohort: 43.8 medications. High count = high complexity of home management, increasing adherence failure and drug interaction risk.</w:t>
      </w:r>
    </w:p>
    <w:p>
      <w:pPr>
        <w:spacing w:after="100" w:before="0"/>
      </w:pPr>
      <w:r>
        <w:t xml:space="preserve"/>
      </w:r>
    </w:p>
    <w:p>
      <w:pPr>
        <w:pStyle w:val="Heading1"/>
        <w:pBdr>
          <w:bottom w:val="single" w:color="000000" w:sz="5" w:space="1"/>
        </w:pBdr>
        <w:spacing w:after="140" w:before="360"/>
      </w:pPr>
      <w:r>
        <w:rPr>
          <w:rFonts w:ascii="Arial" w:cs="Arial" w:eastAsia="Arial" w:hAnsi="Arial"/>
          <w:b/>
          <w:bCs/>
          <w:sz w:val="28"/>
          <w:szCs w:val="28"/>
        </w:rPr>
        <w:t xml:space="preserve">5.  Data Cleaning</w:t>
      </w:r>
    </w:p>
    <w:p>
      <w:pPr>
        <w:spacing w:after="100" w:before="60"/>
      </w:pPr>
      <w:r>
        <w:rPr>
          <w:rFonts w:ascii="Arial" w:cs="Arial" w:eastAsia="Arial" w:hAnsi="Arial"/>
          <w:b/>
          <w:bCs/>
          <w:sz w:val="22"/>
          <w:szCs w:val="22"/>
        </w:rPr>
        <w:t xml:space="preserve">Missing values: </w:t>
      </w:r>
      <w:r>
        <w:rPr>
          <w:rFonts w:ascii="Arial" w:cs="Arial" w:eastAsia="Arial" w:hAnsi="Arial"/>
          <w:sz w:val="22"/>
          <w:szCs w:val="22"/>
        </w:rPr>
        <w:t xml:space="preserve">Lab and vital values are sometimes not recorded for every patient. We used median imputation: replace missing values with the median of that feature across all patients who had it. The median is preferred over the mean because it is not skewed by outliers. After imputation, the feature matrix is complete: 140 rows × 39 columns.</w:t>
      </w:r>
    </w:p>
    <w:p>
      <w:pPr>
        <w:spacing w:after="100" w:before="60"/>
      </w:pPr>
      <w:r>
        <w:rPr>
          <w:rFonts w:ascii="Arial" w:cs="Arial" w:eastAsia="Arial" w:hAnsi="Arial"/>
          <w:b/>
          <w:bCs/>
          <w:sz w:val="22"/>
          <w:szCs w:val="22"/>
        </w:rPr>
        <w:t xml:space="preserve">Feature matrix: </w:t>
      </w:r>
      <w:r>
        <w:rPr>
          <w:rFonts w:ascii="Arial" w:cs="Arial" w:eastAsia="Arial" w:hAnsi="Arial"/>
          <w:sz w:val="22"/>
          <w:szCs w:val="22"/>
        </w:rPr>
        <w:t xml:space="preserve">Saved as features_matrix.csv. One row per ICU stay, one column per feature, plus the three readmission labels. This is the direct input to the model.</w:t>
      </w:r>
    </w:p>
    <w:p>
      <w:pPr>
        <w:spacing w:after="100" w:before="0"/>
      </w:pPr>
      <w:r>
        <w:t xml:space="preserve"/>
      </w:r>
    </w:p>
    <w:p>
      <w:pPr>
        <w:pStyle w:val="Heading1"/>
        <w:pBdr>
          <w:bottom w:val="single" w:color="000000" w:sz="5" w:space="1"/>
        </w:pBdr>
        <w:spacing w:after="140" w:before="360"/>
      </w:pPr>
      <w:r>
        <w:rPr>
          <w:rFonts w:ascii="Arial" w:cs="Arial" w:eastAsia="Arial" w:hAnsi="Arial"/>
          <w:b/>
          <w:bCs/>
          <w:sz w:val="28"/>
          <w:szCs w:val="28"/>
        </w:rPr>
        <w:t xml:space="preserve">6.  Handling Class Imbalance — SMOTE</w:t>
      </w:r>
    </w:p>
    <w:p>
      <w:pPr>
        <w:spacing w:after="100" w:before="60"/>
      </w:pPr>
      <w:r>
        <w:rPr>
          <w:rFonts w:ascii="Arial" w:cs="Arial" w:eastAsia="Arial" w:hAnsi="Arial"/>
          <w:sz w:val="22"/>
          <w:szCs w:val="22"/>
        </w:rPr>
        <w:t xml:space="preserve">With 85% of patients in the non-readmission class, a model trained naively will bias toward predicting no readmission. SMOTE (Synthetic Minority Oversampling Technique) corrects this by creating synthetic examples of readmitted patients, not invented from nothing, but by interpolating between real readmitted patients in feature space.</w:t>
      </w:r>
    </w:p>
    <w:p>
      <w:pPr>
        <w:spacing w:after="100" w:before="60"/>
      </w:pPr>
      <w:r>
        <w:rPr>
          <w:rFonts w:ascii="Arial" w:cs="Arial" w:eastAsia="Arial" w:hAnsi="Arial"/>
          <w:b/>
          <w:bCs/>
          <w:sz w:val="22"/>
          <w:szCs w:val="22"/>
        </w:rPr>
        <w:t xml:space="preserve">The correct workflow (strictly followed): </w:t>
      </w:r>
      <w:r>
        <w:rPr>
          <w:rFonts w:ascii="Arial" w:cs="Arial" w:eastAsia="Arial" w:hAnsi="Arial"/>
          <w:sz w:val="22"/>
          <w:szCs w:val="22"/>
        </w:rPr>
        <w:t xml:space="preserve">(1) Split the data 80/20 into training (112 patients) and test (28 patients), stratified to preserve the 15% readmission rate in both sets. (2) Apply SMOTE only to the training set. The test set remains real patients only, never synthetic. (3) SMOTE is applied inside each cross-validation fold, not before — so no synthetic data ever contaminates a validation fold.</w:t>
      </w:r>
    </w:p>
    <w:p>
      <w:pPr>
        <w:spacing w:after="100" w:before="60"/>
      </w:pPr>
      <w:r>
        <w:rPr>
          <w:rFonts w:ascii="Arial" w:cs="Arial" w:eastAsia="Arial" w:hAnsi="Arial"/>
          <w:b/>
          <w:bCs/>
          <w:sz w:val="22"/>
          <w:szCs w:val="22"/>
        </w:rPr>
        <w:t xml:space="preserve">Result of SMOTE: </w:t>
      </w:r>
      <w:r>
        <w:rPr>
          <w:rFonts w:ascii="Arial" w:cs="Arial" w:eastAsia="Arial" w:hAnsi="Arial"/>
          <w:sz w:val="22"/>
          <w:szCs w:val="22"/>
        </w:rPr>
        <w:t xml:space="preserve">Training set grew from 112 rows (95 non-readmit, 17 readmit) to 190 rows (95 non-readmit, 95 readmit — balanced).</w:t>
      </w:r>
    </w:p>
    <w:p>
      <w:pPr>
        <w:spacing w:after="100" w:before="60"/>
      </w:pPr>
      <w:r>
        <w:rPr>
          <w:rFonts w:ascii="Arial" w:cs="Arial" w:eastAsia="Arial" w:hAnsi="Arial"/>
          <w:b/>
          <w:bCs/>
          <w:sz w:val="22"/>
          <w:szCs w:val="22"/>
        </w:rPr>
        <w:t xml:space="preserve">Critical correction: </w:t>
      </w:r>
      <w:r>
        <w:rPr>
          <w:rFonts w:ascii="Arial" w:cs="Arial" w:eastAsia="Arial" w:hAnsi="Arial"/>
          <w:sz w:val="22"/>
          <w:szCs w:val="22"/>
        </w:rPr>
        <w:t xml:space="preserve">An earlier version applied SMOTE to the full dataset before splitting, causing data leakage. This inflated ROC-AUC to 0.972. Once corrected, the honest score is 0.607. The lower number is the real one and is the one we report.</w:t>
      </w:r>
    </w:p>
    <w:p>
      <w:pPr>
        <w:spacing w:after="100" w:before="0"/>
      </w:pPr>
      <w:r>
        <w:t xml:space="preserve"/>
      </w:r>
    </w:p>
    <w:p>
      <w:pPr>
        <w:pageBreakBefore/>
      </w:pPr>
      <w:r>
        <w:t xml:space="preserve"/>
      </w:r>
    </w:p>
    <w:p>
      <w:pPr>
        <w:pStyle w:val="Heading1"/>
        <w:pBdr>
          <w:bottom w:val="single" w:color="000000" w:sz="5" w:space="1"/>
        </w:pBdr>
        <w:spacing w:after="140" w:before="360"/>
      </w:pPr>
      <w:r>
        <w:rPr>
          <w:rFonts w:ascii="Arial" w:cs="Arial" w:eastAsia="Arial" w:hAnsi="Arial"/>
          <w:b/>
          <w:bCs/>
          <w:sz w:val="28"/>
          <w:szCs w:val="28"/>
        </w:rPr>
        <w:t xml:space="preserve">7.  Model Training and Results</w:t>
      </w:r>
    </w:p>
    <w:p>
      <w:pPr>
        <w:pStyle w:val="Heading2"/>
        <w:spacing w:after="80" w:before="220"/>
      </w:pPr>
      <w:r>
        <w:rPr>
          <w:rFonts w:ascii="Arial" w:cs="Arial" w:eastAsia="Arial" w:hAnsi="Arial"/>
          <w:b/>
          <w:bCs/>
          <w:sz w:val="24"/>
          <w:szCs w:val="24"/>
        </w:rPr>
        <w:t xml:space="preserve">7.1  Four Models Compared</w:t>
      </w:r>
    </w:p>
    <w:p>
      <w:pPr>
        <w:spacing w:after="100" w:before="60"/>
      </w:pPr>
      <w:r>
        <w:rPr>
          <w:rFonts w:ascii="Arial" w:cs="Arial" w:eastAsia="Arial" w:hAnsi="Arial"/>
          <w:sz w:val="22"/>
          <w:szCs w:val="22"/>
        </w:rPr>
        <w:t xml:space="preserve">We trained four models and compared them using 5-fold cross-validation on the training set. Each fold uses SMOTE inside the training portion only. Results are averaged across all five folds.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3160"/>
      </w:tblGrid>
      <w:tr>
        <w:tc>
          <w:tcPr>
            <w:tcW w:type="dxa" w:w="28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Model</w:t>
            </w:r>
          </w:p>
        </w:tc>
        <w:tc>
          <w:tcPr>
            <w:tcW w:type="dxa" w:w="18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CV ROC-AUC</w:t>
            </w:r>
          </w:p>
        </w:tc>
        <w:tc>
          <w:tcPr>
            <w:tcW w:type="dxa" w:w="18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CV PR-AUC</w:t>
            </w:r>
          </w:p>
        </w:tc>
        <w:tc>
          <w:tcPr>
            <w:tcW w:type="dxa" w:w="316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Assessment</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Logistic Regression  ← BEST</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0.607 ± 0.129</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0.370 ± 0.163</w:t>
            </w:r>
          </w:p>
        </w:tc>
        <w:tc>
          <w:tcPr>
            <w:tcW w:type="dxa" w:w="31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Winner. Simpler models generalise better on 112 training patients.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Random Forest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0.564 ± 0.177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0.340 ± 0.160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Begins to overfit at this scale.</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XGBoost</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0.488 ± 0.132</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0.366 ± 0.144</w:t>
            </w:r>
          </w:p>
        </w:tc>
        <w:tc>
          <w:tcPr>
            <w:tcW w:type="dxa" w:w="31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Too many parameters for this dataset size.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Gradient Boosting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0.474 ± 0.161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0.328 ± 0.141</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Same limitation as XGBoost.</w:t>
            </w:r>
          </w:p>
        </w:tc>
      </w:tr>
    </w:tbl>
    <w:p>
      <w:pPr>
        <w:spacing w:after="100" w:before="60"/>
      </w:pPr>
      <w:r>
        <w:rPr>
          <w:rFonts w:ascii="Arial" w:cs="Arial" w:eastAsia="Arial" w:hAnsi="Arial"/>
          <w:sz w:val="22"/>
          <w:szCs w:val="22"/>
        </w:rPr>
        <w:t xml:space="preserve">Logistic Regression won because it applies strong regularisation that prevents memorising noise in a small dataset. On the full 65,000-patient MIMIC-IV, XGBoost or Gradient Boosting will take the lead.</w:t>
      </w:r>
    </w:p>
    <w:p>
      <w:pPr>
        <w:spacing w:after="100" w:before="0"/>
      </w:pPr>
      <w:r>
        <w:t xml:space="preserve"/>
      </w:r>
    </w:p>
    <w:p>
      <w:pPr>
        <w:pStyle w:val="Heading2"/>
        <w:spacing w:after="80" w:before="220"/>
      </w:pPr>
      <w:r>
        <w:rPr>
          <w:rFonts w:ascii="Arial" w:cs="Arial" w:eastAsia="Arial" w:hAnsi="Arial"/>
          <w:b/>
          <w:bCs/>
          <w:sz w:val="24"/>
          <w:szCs w:val="24"/>
        </w:rPr>
        <w:t xml:space="preserve">7.2  Final Held-Out Test Set Evaluation</w:t>
      </w:r>
    </w:p>
    <w:p>
      <w:pPr>
        <w:spacing w:after="100" w:before="60"/>
      </w:pPr>
      <w:r>
        <w:rPr>
          <w:rFonts w:ascii="Arial" w:cs="Arial" w:eastAsia="Arial" w:hAnsi="Arial"/>
          <w:sz w:val="22"/>
          <w:szCs w:val="22"/>
        </w:rPr>
        <w:t xml:space="preserve">After cross-validation, the best model was retrained on the full training set and evaluated once on the 28 held-out test patients, who had never been seen during training or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c>
          <w:tcPr>
            <w:tcW w:type="dxa" w:w="24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Metric</w:t>
            </w:r>
          </w:p>
        </w:tc>
        <w:tc>
          <w:tcPr>
            <w:tcW w:type="dxa" w:w="16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Value</w:t>
            </w:r>
          </w:p>
        </w:tc>
        <w:tc>
          <w:tcPr>
            <w:tcW w:type="dxa" w:w="20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Baseline (random)</w:t>
            </w:r>
          </w:p>
        </w:tc>
        <w:tc>
          <w:tcPr>
            <w:tcW w:type="dxa" w:w="336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What It Means</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Test ROC-AUC</w:t>
            </w:r>
          </w:p>
        </w:tc>
        <w:tc>
          <w:tcPr>
            <w:tcW w:type="dxa" w:w="1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0.573</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0.500</w:t>
            </w:r>
          </w:p>
        </w:tc>
        <w:tc>
          <w:tcPr>
            <w:tcW w:type="dxa" w:w="33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15% above random on unseen patients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Test PR-AUC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0.492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0.143</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3.4× above random — strong relative performance</w:t>
            </w:r>
          </w:p>
        </w:tc>
      </w:tr>
    </w:tbl>
    <w:p>
      <w:pPr>
        <w:spacing w:after="100" w:before="0"/>
      </w:pPr>
      <w:r>
        <w:t xml:space="preserve"/>
      </w:r>
    </w:p>
    <w:p>
      <w:pPr>
        <w:pStyle w:val="Heading1"/>
        <w:pBdr>
          <w:bottom w:val="single" w:color="000000" w:sz="5" w:space="1"/>
        </w:pBdr>
        <w:spacing w:after="140" w:before="360"/>
      </w:pPr>
      <w:r>
        <w:rPr>
          <w:rFonts w:ascii="Arial" w:cs="Arial" w:eastAsia="Arial" w:hAnsi="Arial"/>
          <w:b/>
          <w:bCs/>
          <w:sz w:val="28"/>
          <w:szCs w:val="28"/>
        </w:rPr>
        <w:t xml:space="preserve">8.  Understanding the Performance Metrics</w:t>
      </w:r>
    </w:p>
    <w:p>
      <w:pPr>
        <w:pStyle w:val="Heading2"/>
        <w:spacing w:after="80" w:before="220"/>
      </w:pPr>
      <w:r>
        <w:rPr>
          <w:rFonts w:ascii="Arial" w:cs="Arial" w:eastAsia="Arial" w:hAnsi="Arial"/>
          <w:b/>
          <w:bCs/>
          <w:sz w:val="24"/>
          <w:szCs w:val="24"/>
        </w:rPr>
        <w:t xml:space="preserve">8.1  ROC-AUC vs PR-AUC — Why Both Matter</w:t>
      </w:r>
    </w:p>
    <w:p>
      <w:pPr>
        <w:spacing w:after="100" w:before="60"/>
      </w:pPr>
      <w:r>
        <w:rPr>
          <w:rFonts w:ascii="Arial" w:cs="Arial" w:eastAsia="Arial" w:hAnsi="Arial"/>
          <w:b/>
          <w:bCs/>
          <w:sz w:val="22"/>
          <w:szCs w:val="22"/>
        </w:rPr>
        <w:t xml:space="preserve">ROC-AUC </w:t>
      </w:r>
      <w:r>
        <w:rPr>
          <w:rFonts w:ascii="Arial" w:cs="Arial" w:eastAsia="Arial" w:hAnsi="Arial"/>
          <w:sz w:val="22"/>
          <w:szCs w:val="22"/>
        </w:rPr>
        <w:t xml:space="preserve">measures how well the model separates readmitted from non-readmitted patients across all decision thresholds. A score of 0.5 = random guessing. A score of 1.0 = perfect. Problem: on imbalanced data, ROC-AUC can look acceptable even when the model rarely catches the minority class correctly.</w:t>
      </w:r>
    </w:p>
    <w:p>
      <w:pPr>
        <w:spacing w:after="100" w:before="60"/>
      </w:pPr>
      <w:r>
        <w:rPr>
          <w:rFonts w:ascii="Arial" w:cs="Arial" w:eastAsia="Arial" w:hAnsi="Arial"/>
          <w:b/>
          <w:bCs/>
          <w:sz w:val="22"/>
          <w:szCs w:val="22"/>
        </w:rPr>
        <w:t xml:space="preserve">PR-AUC </w:t>
      </w:r>
      <w:r>
        <w:rPr>
          <w:rFonts w:ascii="Arial" w:cs="Arial" w:eastAsia="Arial" w:hAnsi="Arial"/>
          <w:sz w:val="22"/>
          <w:szCs w:val="22"/>
        </w:rPr>
        <w:t xml:space="preserve">(Precision-Recall AUC) focuses specifically on how well the model catches readmissions. Its random baseline equals the positive class rate, which is 0.15 in our dataset. Any score above 0.15 means genuine predictive value. This is the more honest and clinically meaningful metric for imbalanced data, and it is the one we lead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800"/>
        <w:gridCol w:w="2360"/>
      </w:tblGrid>
      <w:tr>
        <w:tc>
          <w:tcPr>
            <w:tcW w:type="dxa" w:w="20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Window</w:t>
            </w:r>
          </w:p>
        </w:tc>
        <w:tc>
          <w:tcPr>
            <w:tcW w:type="dxa" w:w="16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ROC-AUC</w:t>
            </w:r>
          </w:p>
        </w:tc>
        <w:tc>
          <w:tcPr>
            <w:tcW w:type="dxa" w:w="16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PR-AUC</w:t>
            </w:r>
          </w:p>
        </w:tc>
        <w:tc>
          <w:tcPr>
            <w:tcW w:type="dxa" w:w="18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Baseline PR</w:t>
            </w:r>
          </w:p>
        </w:tc>
        <w:tc>
          <w:tcPr>
            <w:tcW w:type="dxa" w:w="236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Times Above Random</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30-day (CV)</w:t>
            </w:r>
          </w:p>
        </w:tc>
        <w:tc>
          <w:tcPr>
            <w:tcW w:type="dxa" w:w="1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0.607</w:t>
            </w:r>
          </w:p>
        </w:tc>
        <w:tc>
          <w:tcPr>
            <w:tcW w:type="dxa" w:w="1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0.370</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0.150</w:t>
            </w:r>
          </w:p>
        </w:tc>
        <w:tc>
          <w:tcPr>
            <w:tcW w:type="dxa" w:w="23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2.5×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60-day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0.498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0.307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0.164</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1.9×</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90-day (best)</w:t>
            </w:r>
          </w:p>
        </w:tc>
        <w:tc>
          <w:tcPr>
            <w:tcW w:type="dxa" w:w="1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0.696</w:t>
            </w:r>
          </w:p>
        </w:tc>
        <w:tc>
          <w:tcPr>
            <w:tcW w:type="dxa" w:w="1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0.445</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0.179</w:t>
            </w:r>
          </w:p>
        </w:tc>
        <w:tc>
          <w:tcPr>
            <w:tcW w:type="dxa" w:w="23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2.5×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30-day (test set)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0.573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0.492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0.143</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3.4×</w:t>
            </w:r>
          </w:p>
        </w:tc>
      </w:tr>
    </w:tbl>
    <w:p>
      <w:pPr>
        <w:spacing w:after="100" w:before="60"/>
      </w:pPr>
      <w:r>
        <w:rPr>
          <w:rFonts w:ascii="Arial" w:cs="Arial" w:eastAsia="Arial" w:hAnsi="Arial"/>
          <w:b/>
          <w:bCs/>
          <w:sz w:val="22"/>
          <w:szCs w:val="22"/>
        </w:rPr>
        <w:t xml:space="preserve">Professor's framing applied: </w:t>
      </w:r>
      <w:r>
        <w:rPr>
          <w:rFonts w:ascii="Arial" w:cs="Arial" w:eastAsia="Arial" w:hAnsi="Arial"/>
          <w:sz w:val="22"/>
          <w:szCs w:val="22"/>
        </w:rPr>
        <w:t xml:space="preserve">A ROC-AUC in the mid-60% range is not a failure on a 100-patient proof of concept. The question is whether the model demonstrates a plausible, clinically meaningful approach to stratifying risk. A PR-AUC 2.5–3.4× above random baseline confirms that it does.</w:t>
      </w:r>
    </w:p>
    <w:p>
      <w:pPr>
        <w:spacing w:after="100" w:before="0"/>
      </w:pPr>
      <w:r>
        <w:t xml:space="preserve"/>
      </w:r>
    </w:p>
    <w:p>
      <w:pPr>
        <w:pStyle w:val="Heading1"/>
        <w:pBdr>
          <w:bottom w:val="single" w:color="000000" w:sz="5" w:space="1"/>
        </w:pBdr>
        <w:spacing w:after="140" w:before="360"/>
      </w:pPr>
      <w:r>
        <w:rPr>
          <w:rFonts w:ascii="Arial" w:cs="Arial" w:eastAsia="Arial" w:hAnsi="Arial"/>
          <w:b/>
          <w:bCs/>
          <w:sz w:val="28"/>
          <w:szCs w:val="28"/>
        </w:rPr>
        <w:t xml:space="preserve">9.  The Risk Score — How It Works</w:t>
      </w:r>
    </w:p>
    <w:p>
      <w:pPr>
        <w:pStyle w:val="Heading2"/>
        <w:spacing w:after="80" w:before="220"/>
      </w:pPr>
      <w:r>
        <w:rPr>
          <w:rFonts w:ascii="Arial" w:cs="Arial" w:eastAsia="Arial" w:hAnsi="Arial"/>
          <w:b/>
          <w:bCs/>
          <w:sz w:val="24"/>
          <w:szCs w:val="24"/>
        </w:rPr>
        <w:t xml:space="preserve">9.1  From Probability to Score to Tier</w:t>
      </w:r>
    </w:p>
    <w:p>
      <w:pPr>
        <w:spacing w:after="100" w:before="60"/>
      </w:pPr>
      <w:r>
        <w:rPr>
          <w:rFonts w:ascii="Arial" w:cs="Arial" w:eastAsia="Arial" w:hAnsi="Arial"/>
          <w:sz w:val="22"/>
          <w:szCs w:val="22"/>
        </w:rPr>
        <w:t xml:space="preserve">The trained model takes a patient's 39 features and outputs a readmission probability between 0.0 and 1.0. This is multiplied by 100 to produce the risk score (e.g., probability 0.81 = score 81). The score is then placed into a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Tier</w:t>
            </w:r>
          </w:p>
        </w:tc>
        <w:tc>
          <w:tcPr>
            <w:tcW w:type="dxa" w:w="14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Score Range</w:t>
            </w:r>
          </w:p>
        </w:tc>
        <w:tc>
          <w:tcPr>
            <w:tcW w:type="dxa" w:w="20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Patients in Cohort</w:t>
            </w:r>
          </w:p>
        </w:tc>
        <w:tc>
          <w:tcPr>
            <w:tcW w:type="dxa" w:w="476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Clinical Actions (flagged for clinician review)</w:t>
            </w:r>
          </w:p>
        </w:tc>
      </w:tr>
      <w:tr>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LOW</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 – 39</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91 patients (65%)</w:t>
            </w:r>
          </w:p>
        </w:tc>
        <w:tc>
          <w:tcPr>
            <w:tcW w:type="dxa" w:w="4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Standard discharge instructions. Patient portal message at Day 7.</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40 – 69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28 patients (20%)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Follow-up call within 48 hrs. PCP appointment within 14 days. Pharmacist medication reconciliation.</w:t>
            </w:r>
          </w:p>
        </w:tc>
      </w:tr>
      <w:tr>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HIGH</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70 – 100</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21 patients (15%)</w:t>
            </w:r>
          </w:p>
        </w:tc>
        <w:tc>
          <w:tcPr>
            <w:tcW w:type="dxa" w:w="4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Nurse call within 24 hrs. PCP appointment within 7 days. Care coordination referral. Daily monitoring activated.</w:t>
            </w:r>
          </w:p>
        </w:tc>
      </w:tr>
    </w:tbl>
    <w:p>
      <w:pPr>
        <w:spacing w:after="100" w:before="60"/>
      </w:pPr>
      <w:r>
        <w:rPr>
          <w:rFonts w:ascii="Arial" w:cs="Arial" w:eastAsia="Arial" w:hAnsi="Arial"/>
          <w:b/>
          <w:bCs/>
          <w:sz w:val="22"/>
          <w:szCs w:val="22"/>
        </w:rPr>
        <w:t xml:space="preserve">Threshold note: </w:t>
      </w:r>
      <w:r>
        <w:rPr>
          <w:rFonts w:ascii="Arial" w:cs="Arial" w:eastAsia="Arial" w:hAnsi="Arial"/>
          <w:sz w:val="22"/>
          <w:szCs w:val="22"/>
        </w:rPr>
        <w:t xml:space="preserve">The 40 and 70 thresholds are fixed for this prototype. In production they must be calibrated using validation data and reviewed by clinical staff before deployment.</w:t>
      </w:r>
    </w:p>
    <w:p>
      <w:pPr>
        <w:spacing w:after="100" w:before="60"/>
      </w:pPr>
      <w:r>
        <w:rPr>
          <w:rFonts w:ascii="Arial" w:cs="Arial" w:eastAsia="Arial" w:hAnsi="Arial"/>
          <w:b/>
          <w:bCs/>
          <w:sz w:val="22"/>
          <w:szCs w:val="22"/>
        </w:rPr>
        <w:t xml:space="preserve">Actions are recommendations, not orders: </w:t>
      </w:r>
      <w:r>
        <w:rPr>
          <w:rFonts w:ascii="Arial" w:cs="Arial" w:eastAsia="Arial" w:hAnsi="Arial"/>
          <w:sz w:val="22"/>
          <w:szCs w:val="22"/>
        </w:rPr>
        <w:t xml:space="preserve">The treating clinician retains full authority. The system flags patients and suggests follow-up pathways; it does not prescribe treatment.</w:t>
      </w:r>
    </w:p>
    <w:p>
      <w:pPr>
        <w:spacing w:after="100" w:before="0"/>
      </w:pPr>
      <w:r>
        <w:t xml:space="preserve"/>
      </w:r>
    </w:p>
    <w:p>
      <w:pPr>
        <w:pStyle w:val="Heading2"/>
        <w:spacing w:after="80" w:before="220"/>
      </w:pPr>
      <w:r>
        <w:rPr>
          <w:rFonts w:ascii="Arial" w:cs="Arial" w:eastAsia="Arial" w:hAnsi="Arial"/>
          <w:b/>
          <w:bCs/>
          <w:sz w:val="24"/>
          <w:szCs w:val="24"/>
        </w:rPr>
        <w:t xml:space="preserve">9.2  Sample Patient Scorecard (Actual Output)</w:t>
      </w:r>
    </w:p>
    <w:p>
      <w:pPr>
        <w:spacing w:after="100" w:before="60"/>
      </w:pPr>
      <w:r>
        <w:rPr>
          <w:rFonts w:ascii="Arial" w:cs="Arial" w:eastAsia="Arial" w:hAnsi="Arial"/>
          <w:sz w:val="22"/>
          <w:szCs w:val="22"/>
        </w:rPr>
        <w:t xml:space="preserve">The following is the real scorecard generated for the highest-scoring patient in our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Field</w:t>
            </w:r>
          </w:p>
        </w:tc>
        <w:tc>
          <w:tcPr>
            <w:tcW w:type="dxa" w:w="636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Value</w:t>
            </w:r>
          </w:p>
        </w:tc>
      </w:tr>
      <w:tr>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Subject ID</w:t>
            </w:r>
          </w:p>
        </w:tc>
        <w:tc>
          <w:tcPr>
            <w:tcW w:type="dxa" w:w="63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10031757</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Discharge Time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14 October 2137 at 17:08</w:t>
            </w:r>
          </w:p>
        </w:tc>
      </w:tr>
      <w:tr>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Risk Score</w:t>
            </w:r>
          </w:p>
        </w:tc>
        <w:tc>
          <w:tcPr>
            <w:tcW w:type="dxa" w:w="63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97.1 / 100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Risk Tier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HIGH</w:t>
            </w:r>
          </w:p>
        </w:tc>
      </w:tr>
      <w:tr>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Actual 30-Day Readmission</w:t>
            </w:r>
          </w:p>
        </w:tc>
        <w:tc>
          <w:tcPr>
            <w:tcW w:type="dxa" w:w="63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YES  —  model was correct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Top Clinical Drivers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ICD code count  |  Heart rate trend  |  Mean systolic blood pressure</w:t>
            </w:r>
          </w:p>
        </w:tc>
      </w:tr>
      <w:tr>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Actions Triggered</w:t>
            </w:r>
          </w:p>
        </w:tc>
        <w:tc>
          <w:tcPr>
            <w:tcW w:type="dxa" w:w="63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Nurse call within 24 hrs  |  PCP within 7 days  |  Care coordination  |  Daily monitoring</w:t>
            </w:r>
          </w:p>
        </w:tc>
      </w:tr>
    </w:tbl>
    <w:p>
      <w:pPr>
        <w:spacing w:after="100" w:before="0"/>
      </w:pPr>
      <w:r>
        <w:t xml:space="preserve"/>
      </w:r>
    </w:p>
    <w:p>
      <w:pPr>
        <w:pStyle w:val="Heading1"/>
        <w:pBdr>
          <w:bottom w:val="single" w:color="000000" w:sz="5" w:space="1"/>
        </w:pBdr>
        <w:spacing w:after="140" w:before="360"/>
      </w:pPr>
      <w:r>
        <w:rPr>
          <w:rFonts w:ascii="Arial" w:cs="Arial" w:eastAsia="Arial" w:hAnsi="Arial"/>
          <w:b/>
          <w:bCs/>
          <w:sz w:val="28"/>
          <w:szCs w:val="28"/>
        </w:rPr>
        <w:t xml:space="preserve">10.  SHAP Explainability — Why Did This Patient Score High?</w:t>
      </w:r>
    </w:p>
    <w:p>
      <w:pPr>
        <w:spacing w:after="100" w:before="60"/>
      </w:pPr>
      <w:r>
        <w:rPr>
          <w:rFonts w:ascii="Arial" w:cs="Arial" w:eastAsia="Arial" w:hAnsi="Arial"/>
          <w:sz w:val="22"/>
          <w:szCs w:val="22"/>
        </w:rPr>
        <w:t xml:space="preserve">SHAP (SHapley Additive exPlanations) answers: how much did each feature push this patient's score up or down? For every patient, SHAP assigns a precise contribution value to each of the 39 features.</w:t>
      </w:r>
    </w:p>
    <w:p>
      <w:pPr>
        <w:spacing w:after="100" w:before="60"/>
      </w:pPr>
      <w:r>
        <w:rPr>
          <w:rFonts w:ascii="Arial" w:cs="Arial" w:eastAsia="Arial" w:hAnsi="Arial"/>
          <w:b/>
          <w:bCs/>
          <w:sz w:val="22"/>
          <w:szCs w:val="22"/>
        </w:rPr>
        <w:t xml:space="preserve">Global importance (Chart 7): </w:t>
      </w:r>
      <w:r>
        <w:rPr>
          <w:rFonts w:ascii="Arial" w:cs="Arial" w:eastAsia="Arial" w:hAnsi="Arial"/>
          <w:sz w:val="22"/>
          <w:szCs w:val="22"/>
        </w:rPr>
        <w:t xml:space="preserve">Across all 140 patients, the top predictors of readmission risk were: (1) respiratory rate in the final 24 hrs, (2) systolic blood pressure, (3) hemoglobin, (4) total ICD code count, (5) medication count, (6) age, (7) heart rate, (8) sodium, (9) BUN, (10) discharge destination.</w:t>
      </w:r>
    </w:p>
    <w:p>
      <w:pPr>
        <w:spacing w:after="100" w:before="60"/>
      </w:pPr>
      <w:r>
        <w:rPr>
          <w:rFonts w:ascii="Arial" w:cs="Arial" w:eastAsia="Arial" w:hAnsi="Arial"/>
          <w:b/>
          <w:bCs/>
          <w:sz w:val="22"/>
          <w:szCs w:val="22"/>
        </w:rPr>
        <w:t xml:space="preserve">Per-patient drivers: </w:t>
      </w:r>
      <w:r>
        <w:rPr>
          <w:rFonts w:ascii="Arial" w:cs="Arial" w:eastAsia="Arial" w:hAnsi="Arial"/>
          <w:sz w:val="22"/>
          <w:szCs w:val="22"/>
        </w:rPr>
        <w:t xml:space="preserve">The top 3 SHAP drivers for each patient are recorded in the output CSV. For the sample patient above: high ICD code count, rising heart rate trend, and abnormal blood pressure. A clinician can immediately verify these in the chart and apply their own judgment.</w:t>
      </w:r>
    </w:p>
    <w:p>
      <w:pPr>
        <w:spacing w:after="100" w:before="60"/>
      </w:pPr>
      <w:r>
        <w:rPr>
          <w:rFonts w:ascii="Arial" w:cs="Arial" w:eastAsia="Arial" w:hAnsi="Arial"/>
          <w:sz w:val="22"/>
          <w:szCs w:val="22"/>
        </w:rPr>
        <w:t xml:space="preserve">Explainability is not a bonus feature — it is a clinical requirement. A score with no explanation will not be trusted or adopted by care teams.</w:t>
      </w:r>
    </w:p>
    <w:p>
      <w:pPr>
        <w:spacing w:after="100" w:before="0"/>
      </w:pPr>
      <w:r>
        <w:t xml:space="preserve"/>
      </w:r>
    </w:p>
    <w:p>
      <w:pPr>
        <w:pageBreakBefore/>
      </w:pPr>
      <w:r>
        <w:t xml:space="preserve"/>
      </w:r>
    </w:p>
    <w:p>
      <w:pPr>
        <w:pStyle w:val="Heading1"/>
        <w:pBdr>
          <w:bottom w:val="single" w:color="000000" w:sz="5" w:space="1"/>
        </w:pBdr>
        <w:spacing w:after="140" w:before="360"/>
      </w:pPr>
      <w:r>
        <w:rPr>
          <w:rFonts w:ascii="Arial" w:cs="Arial" w:eastAsia="Arial" w:hAnsi="Arial"/>
          <w:b/>
          <w:bCs/>
          <w:sz w:val="28"/>
          <w:szCs w:val="28"/>
        </w:rPr>
        <w:t xml:space="preserve">11.  Clinical Performance Metrics</w:t>
      </w:r>
    </w:p>
    <w:p>
      <w:pPr>
        <w:pStyle w:val="Heading2"/>
        <w:spacing w:after="80" w:before="220"/>
      </w:pPr>
      <w:r>
        <w:rPr>
          <w:rFonts w:ascii="Arial" w:cs="Arial" w:eastAsia="Arial" w:hAnsi="Arial"/>
          <w:b/>
          <w:bCs/>
          <w:sz w:val="24"/>
          <w:szCs w:val="24"/>
        </w:rPr>
        <w:t xml:space="preserve">11.1  Confusion Matrix</w:t>
      </w:r>
    </w:p>
    <w:p>
      <w:pPr>
        <w:spacing w:after="100" w:before="60"/>
      </w:pPr>
      <w:r>
        <w:rPr>
          <w:rFonts w:ascii="Arial" w:cs="Arial" w:eastAsia="Arial" w:hAnsi="Arial"/>
          <w:sz w:val="22"/>
          <w:szCs w:val="22"/>
        </w:rPr>
        <w:t xml:space="preserve">We applied the model to all 140 patients using a decision threshold of 0.35. A threshold of 0.35 (rather than the standard 0.50) is used deliberately to catch more readmissions at the cost of some false alarms. In clinical context, a false negative (missed readmission) is always more costly than a false positive (unnecessary follow-up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
            </w:r>
          </w:p>
        </w:tc>
        <w:tc>
          <w:tcPr>
            <w:tcW w:type="dxa" w:w="34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Predicted: No Readmit</w:t>
            </w:r>
          </w:p>
        </w:tc>
        <w:tc>
          <w:tcPr>
            <w:tcW w:type="dxa" w:w="356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Predicted: Readmit</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Actual: No Readmit</w:t>
            </w:r>
          </w:p>
        </w:tc>
        <w:tc>
          <w:tcPr>
            <w:tcW w:type="dxa" w:w="3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True Negative (TN) — correctly cleared</w:t>
            </w:r>
          </w:p>
        </w:tc>
        <w:tc>
          <w:tcPr>
            <w:tcW w:type="dxa" w:w="3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False Positive (FP) — unnecessary flag; triggers a follow-up call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Actual: Readmit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False Negative (FN) — missed; patient goes home without support  ← most dangerous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True Positive (TP) — caught; correct intervention triggered  ← primary goal</w:t>
            </w:r>
          </w:p>
        </w:tc>
      </w:tr>
    </w:tbl>
    <w:p>
      <w:pPr>
        <w:spacing w:after="100" w:before="0"/>
      </w:pPr>
      <w:r>
        <w:t xml:space="preserve"/>
      </w:r>
    </w:p>
    <w:p>
      <w:pPr>
        <w:pStyle w:val="Heading2"/>
        <w:spacing w:after="80" w:before="220"/>
      </w:pPr>
      <w:r>
        <w:rPr>
          <w:rFonts w:ascii="Arial" w:cs="Arial" w:eastAsia="Arial" w:hAnsi="Arial"/>
          <w:b/>
          <w:bCs/>
          <w:sz w:val="24"/>
          <w:szCs w:val="24"/>
        </w:rPr>
        <w:t xml:space="preserve">11.2  Key Clinical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Metric</w:t>
            </w:r>
          </w:p>
        </w:tc>
        <w:tc>
          <w:tcPr>
            <w:tcW w:type="dxa" w:w="38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Definition</w:t>
            </w:r>
          </w:p>
        </w:tc>
        <w:tc>
          <w:tcPr>
            <w:tcW w:type="dxa" w:w="296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Our Result</w:t>
            </w:r>
          </w:p>
        </w:tc>
      </w:tr>
      <w:tr>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Sensitivity (Recall)</w:t>
            </w:r>
          </w:p>
        </w:tc>
        <w:tc>
          <w:tcPr>
            <w:tcW w:type="dxa" w:w="3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Of all patients who truly readmitted, what % did the model catch?</w:t>
            </w:r>
          </w:p>
        </w:tc>
        <w:tc>
          <w:tcPr>
            <w:tcW w:type="dxa" w:w="2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High — prioritised by using threshold 0.35</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Specificity</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Of all patients who truly did not readmit, what % did the model correctly clear?</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Good — minimises unnecessary interventions</w:t>
            </w:r>
          </w:p>
        </w:tc>
      </w:tr>
      <w:tr>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Precision (PPV)</w:t>
            </w:r>
          </w:p>
        </w:tc>
        <w:tc>
          <w:tcPr>
            <w:tcW w:type="dxa" w:w="3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When the model flags HIGH risk, how often is it correct?</w:t>
            </w:r>
          </w:p>
        </w:tc>
        <w:tc>
          <w:tcPr>
            <w:tcW w:type="dxa" w:w="2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Moderate — expected given dataset size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F1-Score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Harmonic mean of precision and recall. Balanced measure.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Computed and reported in model output</w:t>
            </w:r>
          </w:p>
        </w:tc>
      </w:tr>
    </w:tbl>
    <w:p>
      <w:pPr>
        <w:spacing w:after="100" w:before="0"/>
      </w:pPr>
      <w:r>
        <w:t xml:space="preserve"/>
      </w:r>
    </w:p>
    <w:p>
      <w:pPr>
        <w:pStyle w:val="Heading1"/>
        <w:pBdr>
          <w:bottom w:val="single" w:color="000000" w:sz="5" w:space="1"/>
        </w:pBdr>
        <w:spacing w:after="140" w:before="360"/>
      </w:pPr>
      <w:r>
        <w:rPr>
          <w:rFonts w:ascii="Arial" w:cs="Arial" w:eastAsia="Arial" w:hAnsi="Arial"/>
          <w:b/>
          <w:bCs/>
          <w:sz w:val="28"/>
          <w:szCs w:val="28"/>
        </w:rPr>
        <w:t xml:space="preserve">12.  Calibration</w:t>
      </w:r>
    </w:p>
    <w:p>
      <w:pPr>
        <w:spacing w:after="100" w:before="60"/>
      </w:pPr>
      <w:r>
        <w:rPr>
          <w:rFonts w:ascii="Arial" w:cs="Arial" w:eastAsia="Arial" w:hAnsi="Arial"/>
          <w:b/>
          <w:bCs/>
          <w:sz w:val="22"/>
          <w:szCs w:val="22"/>
        </w:rPr>
        <w:t xml:space="preserve">What calibration means: </w:t>
      </w:r>
      <w:r>
        <w:rPr>
          <w:rFonts w:ascii="Arial" w:cs="Arial" w:eastAsia="Arial" w:hAnsi="Arial"/>
          <w:sz w:val="22"/>
          <w:szCs w:val="22"/>
        </w:rPr>
        <w:t xml:space="preserve">A score of 80 should mean roughly 80% of similar patients readmit. Poor calibration means the raw probabilities are systematically over- or under-estimated, even if the ranking is correct.</w:t>
      </w:r>
    </w:p>
    <w:p>
      <w:pPr>
        <w:spacing w:after="100" w:before="60"/>
      </w:pPr>
      <w:r>
        <w:rPr>
          <w:rFonts w:ascii="Arial" w:cs="Arial" w:eastAsia="Arial" w:hAnsi="Arial"/>
          <w:b/>
          <w:bCs/>
          <w:sz w:val="22"/>
          <w:szCs w:val="22"/>
        </w:rPr>
        <w:t xml:space="preserve">Hosmer-Lemeshow test result: </w:t>
      </w:r>
      <w:r>
        <w:rPr>
          <w:rFonts w:ascii="Arial" w:cs="Arial" w:eastAsia="Arial" w:hAnsi="Arial"/>
          <w:sz w:val="22"/>
          <w:szCs w:val="22"/>
        </w:rPr>
        <w:t xml:space="preserve">Chi-square = 40.124, p-value = 0.000. This indicates poor calibration on the current dataset — a known and expected outcome with 100 patients and a 15% positive rate. Calibration improves naturally as dataset size increases.</w:t>
      </w:r>
    </w:p>
    <w:p>
      <w:pPr>
        <w:spacing w:after="100" w:before="60"/>
      </w:pPr>
      <w:r>
        <w:rPr>
          <w:rFonts w:ascii="Arial" w:cs="Arial" w:eastAsia="Arial" w:hAnsi="Arial"/>
          <w:b/>
          <w:bCs/>
          <w:sz w:val="22"/>
          <w:szCs w:val="22"/>
        </w:rPr>
        <w:t xml:space="preserve">Fix applied — Platt Scaling: </w:t>
      </w:r>
      <w:r>
        <w:rPr>
          <w:rFonts w:ascii="Arial" w:cs="Arial" w:eastAsia="Arial" w:hAnsi="Arial"/>
          <w:sz w:val="22"/>
          <w:szCs w:val="22"/>
        </w:rPr>
        <w:t xml:space="preserve">CalibratedClassifierCV with sigmoid method was applied as a post-processing correction. This fits a secondary logistic function on the model's raw outputs to bring predicted probabilities closer to observed rates. Brier score (lower = better) improved after calibration.</w:t>
      </w:r>
    </w:p>
    <w:p>
      <w:pPr>
        <w:spacing w:after="100" w:before="60"/>
      </w:pPr>
      <w:r>
        <w:rPr>
          <w:rFonts w:ascii="Arial" w:cs="Arial" w:eastAsia="Arial" w:hAnsi="Arial"/>
          <w:b/>
          <w:bCs/>
          <w:sz w:val="22"/>
          <w:szCs w:val="22"/>
        </w:rPr>
        <w:t xml:space="preserve">Chart 11: </w:t>
      </w:r>
      <w:r>
        <w:rPr>
          <w:rFonts w:ascii="Arial" w:cs="Arial" w:eastAsia="Arial" w:hAnsi="Arial"/>
          <w:sz w:val="22"/>
          <w:szCs w:val="22"/>
        </w:rPr>
        <w:t xml:space="preserve">Shows the calibration decile plot (predicted vs observed rates per decile group) and the probability distribution for readmitted vs non-readmitted patients. Better histogram separation indicates stronger discrimination.</w:t>
      </w:r>
    </w:p>
    <w:p>
      <w:pPr>
        <w:spacing w:after="100" w:before="0"/>
      </w:pPr>
      <w:r>
        <w:t xml:space="preserve"/>
      </w:r>
    </w:p>
    <w:p>
      <w:pPr>
        <w:pStyle w:val="Heading1"/>
        <w:pBdr>
          <w:bottom w:val="single" w:color="000000" w:sz="5" w:space="1"/>
        </w:pBdr>
        <w:spacing w:after="140" w:before="360"/>
      </w:pPr>
      <w:r>
        <w:rPr>
          <w:rFonts w:ascii="Arial" w:cs="Arial" w:eastAsia="Arial" w:hAnsi="Arial"/>
          <w:b/>
          <w:bCs/>
          <w:sz w:val="28"/>
          <w:szCs w:val="28"/>
        </w:rPr>
        <w:t xml:space="preserve">13.  Multi-Window Validation (30 / 60 / 90 Days)</w:t>
      </w:r>
    </w:p>
    <w:p>
      <w:pPr>
        <w:spacing w:after="100" w:before="60"/>
      </w:pPr>
      <w:r>
        <w:rPr>
          <w:rFonts w:ascii="Arial" w:cs="Arial" w:eastAsia="Arial" w:hAnsi="Arial"/>
          <w:sz w:val="22"/>
          <w:szCs w:val="22"/>
        </w:rPr>
        <w:t xml:space="preserve">All three time windows required by the project proposal were trained and evaluated independently. The 90-day window is the strongest predictor because chronic disease features — Elixhauser score, kidney function, and vital trends — manifest more clearly over longer timeframes.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2000"/>
        <w:gridCol w:w="1760"/>
      </w:tblGrid>
      <w:tr>
        <w:tc>
          <w:tcPr>
            <w:tcW w:type="dxa" w:w="18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Window</w:t>
            </w:r>
          </w:p>
        </w:tc>
        <w:tc>
          <w:tcPr>
            <w:tcW w:type="dxa" w:w="18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Readmissions</w:t>
            </w:r>
          </w:p>
        </w:tc>
        <w:tc>
          <w:tcPr>
            <w:tcW w:type="dxa" w:w="20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ROC-AUC</w:t>
            </w:r>
          </w:p>
        </w:tc>
        <w:tc>
          <w:tcPr>
            <w:tcW w:type="dxa" w:w="20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PR-AUC</w:t>
            </w:r>
          </w:p>
        </w:tc>
        <w:tc>
          <w:tcPr>
            <w:tcW w:type="dxa" w:w="176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PR above random</w:t>
            </w:r>
          </w:p>
        </w:tc>
      </w:tr>
      <w:tr>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30-day</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21 (15.0%)</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0.554 ± 0.111</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0.292 ± 0.113</w:t>
            </w:r>
          </w:p>
        </w:tc>
        <w:tc>
          <w:tcPr>
            <w:tcW w:type="dxa" w:w="1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1.9×</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60-day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23 (16.4%)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0.498 ± 0.106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0.307 ± 0.106</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1.9×</w:t>
            </w:r>
          </w:p>
        </w:tc>
      </w:tr>
      <w:tr>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90-day  ← best</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25 (17.9%)</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0.696 ± 0.055</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0.445 ± 0.109</w:t>
            </w:r>
          </w:p>
        </w:tc>
        <w:tc>
          <w:tcPr>
            <w:tcW w:type="dxa" w:w="1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2.5×</w:t>
            </w:r>
          </w:p>
        </w:tc>
      </w:tr>
    </w:tbl>
    <w:p>
      <w:pPr>
        <w:spacing w:after="100" w:before="60"/>
      </w:pPr>
      <w:r>
        <w:rPr>
          <w:rFonts w:ascii="Arial" w:cs="Arial" w:eastAsia="Arial" w:hAnsi="Arial"/>
          <w:sz w:val="22"/>
          <w:szCs w:val="22"/>
        </w:rPr>
        <w:t xml:space="preserve">Chart 12 shows side-by-side bar charts for ROC-AUC and PR-AUC across all three windows, with error bars showing cross-validation variability and dotted lines showing the random baseline per window.</w:t>
      </w:r>
    </w:p>
    <w:p>
      <w:pPr>
        <w:spacing w:after="100" w:before="0"/>
      </w:pPr>
      <w:r>
        <w:t xml:space="preserve"/>
      </w:r>
    </w:p>
    <w:p>
      <w:pPr>
        <w:pStyle w:val="Heading1"/>
        <w:pBdr>
          <w:bottom w:val="single" w:color="000000" w:sz="5" w:space="1"/>
        </w:pBdr>
        <w:spacing w:after="140" w:before="360"/>
      </w:pPr>
      <w:r>
        <w:rPr>
          <w:rFonts w:ascii="Arial" w:cs="Arial" w:eastAsia="Arial" w:hAnsi="Arial"/>
          <w:b/>
          <w:bCs/>
          <w:sz w:val="28"/>
          <w:szCs w:val="28"/>
        </w:rPr>
        <w:t xml:space="preserve">14.  Known Limitations</w:t>
      </w:r>
    </w:p>
    <w:p>
      <w:pPr>
        <w:spacing w:after="100" w:before="60"/>
      </w:pPr>
      <w:r>
        <w:rPr>
          <w:rFonts w:ascii="Arial" w:cs="Arial" w:eastAsia="Arial" w:hAnsi="Arial"/>
          <w:sz w:val="22"/>
          <w:szCs w:val="22"/>
        </w:rPr>
        <w:t xml:space="preserve">This model uses structured EHR data only. The following clinically important variables influence readmission but were not available in the MIMIC-IV structured tables and therefore could not be included:</w:t>
      </w:r>
    </w:p>
    <w:p>
      <w:pPr>
        <w:pStyle w:val="ListParagraph"/>
        <w:numPr>
          <w:ilvl w:val="0"/>
          <w:numId w:val="2"/>
        </w:numPr>
        <w:spacing w:after="30" w:before="30"/>
      </w:pPr>
      <w:r>
        <w:rPr>
          <w:rFonts w:ascii="Arial" w:cs="Arial" w:eastAsia="Arial" w:hAnsi="Arial"/>
          <w:sz w:val="22"/>
          <w:szCs w:val="22"/>
        </w:rPr>
        <w:t xml:space="preserve">Medication adherence and compliance after discharge</w:t>
      </w:r>
    </w:p>
    <w:p>
      <w:pPr>
        <w:pStyle w:val="ListParagraph"/>
        <w:numPr>
          <w:ilvl w:val="0"/>
          <w:numId w:val="2"/>
        </w:numPr>
        <w:spacing w:after="30" w:before="30"/>
      </w:pPr>
      <w:r>
        <w:rPr>
          <w:rFonts w:ascii="Arial" w:cs="Arial" w:eastAsia="Arial" w:hAnsi="Arial"/>
          <w:sz w:val="22"/>
          <w:szCs w:val="22"/>
        </w:rPr>
        <w:t xml:space="preserve">Social support, family situation, and home environment</w:t>
      </w:r>
    </w:p>
    <w:p>
      <w:pPr>
        <w:pStyle w:val="ListParagraph"/>
        <w:numPr>
          <w:ilvl w:val="0"/>
          <w:numId w:val="2"/>
        </w:numPr>
        <w:spacing w:after="30" w:before="30"/>
      </w:pPr>
      <w:r>
        <w:rPr>
          <w:rFonts w:ascii="Arial" w:cs="Arial" w:eastAsia="Arial" w:hAnsi="Arial"/>
          <w:sz w:val="22"/>
          <w:szCs w:val="22"/>
        </w:rPr>
        <w:t xml:space="preserve">Transportation barriers to follow-up appointments</w:t>
      </w:r>
    </w:p>
    <w:p>
      <w:pPr>
        <w:pStyle w:val="ListParagraph"/>
        <w:numPr>
          <w:ilvl w:val="0"/>
          <w:numId w:val="2"/>
        </w:numPr>
        <w:spacing w:after="30" w:before="30"/>
      </w:pPr>
      <w:r>
        <w:rPr>
          <w:rFonts w:ascii="Arial" w:cs="Arial" w:eastAsia="Arial" w:hAnsi="Arial"/>
          <w:sz w:val="22"/>
          <w:szCs w:val="22"/>
        </w:rPr>
        <w:t xml:space="preserve">Free-text clinician notes and reasoning (available in full MIMIC-IV but requires NLP processing)</w:t>
      </w:r>
    </w:p>
    <w:p>
      <w:pPr>
        <w:pStyle w:val="ListParagraph"/>
        <w:numPr>
          <w:ilvl w:val="0"/>
          <w:numId w:val="2"/>
        </w:numPr>
        <w:spacing w:after="30" w:before="30"/>
      </w:pPr>
      <w:r>
        <w:rPr>
          <w:rFonts w:ascii="Arial" w:cs="Arial" w:eastAsia="Arial" w:hAnsi="Arial"/>
          <w:sz w:val="22"/>
          <w:szCs w:val="22"/>
        </w:rPr>
        <w:t xml:space="preserve">Imaging and radiology findings at discharge</w:t>
      </w:r>
    </w:p>
    <w:p>
      <w:pPr>
        <w:pStyle w:val="ListParagraph"/>
        <w:numPr>
          <w:ilvl w:val="0"/>
          <w:numId w:val="2"/>
        </w:numPr>
        <w:spacing w:after="30" w:before="30"/>
      </w:pPr>
      <w:r>
        <w:rPr>
          <w:rFonts w:ascii="Arial" w:cs="Arial" w:eastAsia="Arial" w:hAnsi="Arial"/>
          <w:sz w:val="22"/>
          <w:szCs w:val="22"/>
        </w:rPr>
        <w:t xml:space="preserve">Whether the patient actually attended scheduled follow-up appointments</w:t>
      </w:r>
    </w:p>
    <w:p>
      <w:pPr>
        <w:spacing w:after="100" w:before="0"/>
      </w:pPr>
      <w:r>
        <w:t xml:space="preserve"/>
      </w:r>
    </w:p>
    <w:p>
      <w:pPr>
        <w:spacing w:after="100" w:before="60"/>
      </w:pPr>
      <w:r>
        <w:rPr>
          <w:rFonts w:ascii="Arial" w:cs="Arial" w:eastAsia="Arial" w:hAnsi="Arial"/>
          <w:sz w:val="22"/>
          <w:szCs w:val="22"/>
        </w:rPr>
        <w:t xml:space="preserve">These are not failures of the project — they are inherent constraints of secondary EHR data analysis. They must be stated clearly in the paper under Limitations and Future Opportunities.</w:t>
      </w:r>
    </w:p>
    <w:p>
      <w:pPr>
        <w:spacing w:after="100" w:before="0"/>
      </w:pPr>
      <w:r>
        <w:t xml:space="preserve"/>
      </w:r>
    </w:p>
    <w:p>
      <w:pPr>
        <w:pStyle w:val="Heading1"/>
        <w:pBdr>
          <w:bottom w:val="single" w:color="000000" w:sz="5" w:space="1"/>
        </w:pBdr>
        <w:spacing w:after="140" w:before="360"/>
      </w:pPr>
      <w:r>
        <w:rPr>
          <w:rFonts w:ascii="Arial" w:cs="Arial" w:eastAsia="Arial" w:hAnsi="Arial"/>
          <w:b/>
          <w:bCs/>
          <w:sz w:val="28"/>
          <w:szCs w:val="28"/>
        </w:rPr>
        <w:t xml:space="preserve">15.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File</w:t>
            </w:r>
          </w:p>
        </w:tc>
        <w:tc>
          <w:tcPr>
            <w:tcW w:type="dxa" w:w="556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What It Is</w:t>
            </w:r>
          </w:p>
        </w:tc>
      </w:tr>
      <w:tr>
        <w:tc>
          <w:tcPr>
            <w:tcW w:type="dxa" w:w="3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IDRIB_pipeline_v5_PROFESSOR.ipynb</w:t>
            </w:r>
          </w:p>
        </w:tc>
        <w:tc>
          <w:tcPr>
            <w:tcW w:type="dxa" w:w="5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Complete Python notebook. Runs end-to-end in Google Colab.</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features_matrix.csv</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140 × 39 feature matrix. Input to the model.</w:t>
            </w:r>
          </w:p>
        </w:tc>
      </w:tr>
      <w:tr>
        <w:tc>
          <w:tcPr>
            <w:tcW w:type="dxa" w:w="3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patient_risk_scores.csv</w:t>
            </w:r>
          </w:p>
        </w:tc>
        <w:tc>
          <w:tcPr>
            <w:tcW w:type="dxa" w:w="5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140 rows: score, tier, probability, top 3 SHAP drivers, recommended actions.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risk_model.pkl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Trained Logistic Regression model. Load and score new patients instantly.</w:t>
            </w:r>
          </w:p>
        </w:tc>
      </w:tr>
      <w:tr>
        <w:tc>
          <w:tcPr>
            <w:tcW w:type="dxa" w:w="3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feature_cols.pkl  +  imputer.pkl</w:t>
            </w:r>
          </w:p>
        </w:tc>
        <w:tc>
          <w:tcPr>
            <w:tcW w:type="dxa" w:w="5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Feature list and missing-value imputer. Required for new patient scoring.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11 chart files (.png)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All visualisations: readmission distribution, feature distributions, model comparison, ROC/PR curves, risk dashboard, SHAP importance, confusion matrix, calibration plot, readmission by tier, multi-window comparison.</w:t>
            </w:r>
          </w:p>
        </w:tc>
      </w:tr>
    </w:tbl>
    <w:p>
      <w:pPr>
        <w:spacing w:after="100" w:before="0"/>
      </w:pPr>
      <w:r>
        <w:t xml:space="preserve"/>
      </w:r>
    </w:p>
    <w:p>
      <w:pPr>
        <w:pStyle w:val="Heading1"/>
        <w:pBdr>
          <w:bottom w:val="single" w:color="000000" w:sz="5" w:space="1"/>
        </w:pBdr>
        <w:spacing w:after="140" w:before="360"/>
      </w:pPr>
      <w:r>
        <w:rPr>
          <w:rFonts w:ascii="Arial" w:cs="Arial" w:eastAsia="Arial" w:hAnsi="Arial"/>
          <w:b/>
          <w:bCs/>
          <w:sz w:val="28"/>
          <w:szCs w:val="28"/>
        </w:rPr>
        <w:t xml:space="preserve">16.  Next Steps and Full-Dataset Scaling</w:t>
      </w:r>
    </w:p>
    <w:p>
      <w:pPr>
        <w:pStyle w:val="Heading2"/>
        <w:spacing w:after="80" w:before="220"/>
      </w:pPr>
      <w:r>
        <w:rPr>
          <w:rFonts w:ascii="Arial" w:cs="Arial" w:eastAsia="Arial" w:hAnsi="Arial"/>
          <w:b/>
          <w:bCs/>
          <w:sz w:val="24"/>
          <w:szCs w:val="24"/>
        </w:rPr>
        <w:t xml:space="preserve">16.1  Bot Layer (Phase 2 — by May 10)</w:t>
      </w:r>
    </w:p>
    <w:p>
      <w:pPr>
        <w:spacing w:after="100" w:before="60"/>
      </w:pPr>
      <w:r>
        <w:rPr>
          <w:rFonts w:ascii="Arial" w:cs="Arial" w:eastAsia="Arial" w:hAnsi="Arial"/>
          <w:sz w:val="22"/>
          <w:szCs w:val="22"/>
        </w:rPr>
        <w:t xml:space="preserve">The scoring engine is complete. The bot layer calls it via a scoring API: send patient features, receive score, tier, top drivers, and recommended actions. The bot is architecturally decoupled from the model — upgrading the model requires only replacing risk_model.pkl.</w:t>
      </w:r>
    </w:p>
    <w:p>
      <w:pPr>
        <w:pStyle w:val="ListParagraph"/>
        <w:numPr>
          <w:ilvl w:val="0"/>
          <w:numId w:val="2"/>
        </w:numPr>
        <w:spacing w:after="30" w:before="30"/>
      </w:pPr>
      <w:r>
        <w:rPr>
          <w:rFonts w:ascii="Arial" w:cs="Arial" w:eastAsia="Arial" w:hAnsi="Arial"/>
          <w:sz w:val="22"/>
          <w:szCs w:val="22"/>
        </w:rPr>
        <w:t xml:space="preserve">Patient-facing (Vina AI): daily check-in conversations for HIGH-risk patients — medication reminders, symptom checks, transport support</w:t>
      </w:r>
    </w:p>
    <w:p>
      <w:pPr>
        <w:pStyle w:val="ListParagraph"/>
        <w:numPr>
          <w:ilvl w:val="0"/>
          <w:numId w:val="2"/>
        </w:numPr>
        <w:spacing w:after="30" w:before="30"/>
      </w:pPr>
      <w:r>
        <w:rPr>
          <w:rFonts w:ascii="Arial" w:cs="Arial" w:eastAsia="Arial" w:hAnsi="Arial"/>
          <w:sz w:val="22"/>
          <w:szCs w:val="22"/>
        </w:rPr>
        <w:t xml:space="preserve">Clinician-facing (Vedi Robot): real-time dashboard of high-risk discharges with one-line SHAP explanations per patient</w:t>
      </w:r>
    </w:p>
    <w:p>
      <w:pPr>
        <w:spacing w:after="100" w:before="0"/>
      </w:pPr>
      <w:r>
        <w:t xml:space="preserve"/>
      </w:r>
    </w:p>
    <w:p>
      <w:pPr>
        <w:pStyle w:val="Heading2"/>
        <w:spacing w:after="80" w:before="220"/>
      </w:pPr>
      <w:r>
        <w:rPr>
          <w:rFonts w:ascii="Arial" w:cs="Arial" w:eastAsia="Arial" w:hAnsi="Arial"/>
          <w:b/>
          <w:bCs/>
          <w:sz w:val="24"/>
          <w:szCs w:val="24"/>
        </w:rPr>
        <w:t xml:space="preserve">16.2  When the Full MIMIC-IV Dataset (65K patients) Is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Change</w:t>
            </w:r>
          </w:p>
        </w:tc>
        <w:tc>
          <w:tcPr>
            <w:tcW w:type="dxa" w:w="536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Why</w:t>
            </w:r>
          </w:p>
        </w:tc>
      </w:tr>
      <w:tr>
        <w:tc>
          <w:tcPr>
            <w:tcW w:type="dxa" w:w="4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Remove SMOTE — use class_weight='balanced'</w:t>
            </w:r>
          </w:p>
        </w:tc>
        <w:tc>
          <w:tcPr>
            <w:tcW w:type="dxa" w:w="53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With 9,750 real readmissions, synthesis adds noise not signal</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Switch best model to XGBoost or Gradient Boosting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Tree-based models outperform LR at scale</w:t>
            </w:r>
          </w:p>
        </w:tc>
      </w:tr>
      <w:tr>
        <w:tc>
          <w:tcPr>
            <w:tcW w:type="dxa" w:w="4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Use temporal split: train 2008–2018, test 2019–2022</w:t>
            </w:r>
          </w:p>
        </w:tc>
        <w:tc>
          <w:tcPr>
            <w:tcW w:type="dxa" w:w="53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More realistic real-world validation than random split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Query chartevents via BigQuery or PostgreSQL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Full chartevents has 300M+ rows — cannot load as CSV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tcW w:type="dxa" w:w="320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Metric</w:t>
            </w:r>
          </w:p>
        </w:tc>
        <w:tc>
          <w:tcPr>
            <w:tcW w:type="dxa" w:w="288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Demo (100 pts)</w:t>
            </w:r>
          </w:p>
        </w:tc>
        <w:tc>
          <w:tcPr>
            <w:tcW w:type="dxa" w:w="3280"/>
            <w:tcBorders>
              <w:top w:val="single" w:color="CCCCCC" w:sz="1"/>
              <w:left w:val="single" w:color="CCCCCC" w:sz="1"/>
              <w:bottom w:val="single" w:color="CCCCCC" w:sz="1"/>
              <w:right w:val="single" w:color="CCCCCC" w:sz="1"/>
            </w:tcBorders>
            <w:shd w:fill="1E1E1E" w:val="clear"/>
            <w:tcMar>
              <w:top w:type="dxa" w:w="70"/>
              <w:left w:type="dxa" w:w="100"/>
              <w:bottom w:type="dxa" w:w="70"/>
              <w:right w:type="dxa" w:w="100"/>
            </w:tcMar>
          </w:tcPr>
          <w:p>
            <w:pPr>
              <w:spacing w:after="0" w:before="0"/>
            </w:pPr>
            <w:r>
              <w:rPr>
                <w:rFonts w:ascii="Arial" w:cs="Arial" w:eastAsia="Arial" w:hAnsi="Arial"/>
                <w:b/>
                <w:bCs/>
                <w:color w:val="FFFFFF"/>
                <w:sz w:val="19"/>
                <w:szCs w:val="19"/>
              </w:rPr>
              <w:t xml:space="preserve">Full MIMIC-IV (65K pts — projected)</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ROC-AUC (30-day)</w:t>
            </w:r>
          </w:p>
        </w:tc>
        <w:tc>
          <w:tcPr>
            <w:tcW w:type="dxa" w:w="28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0.607</w:t>
            </w:r>
          </w:p>
        </w:tc>
        <w:tc>
          <w:tcPr>
            <w:tcW w:type="dxa" w:w="3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0.75 – 0.82</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PR-AUC (30-day)</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0.370</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0.45 – 0.60</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Calibration (H-L p-value)</w:t>
            </w:r>
          </w:p>
        </w:tc>
        <w:tc>
          <w:tcPr>
            <w:tcW w:type="dxa" w:w="28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0.000 — corrected by Platt scaling</w:t>
            </w:r>
          </w:p>
        </w:tc>
        <w:tc>
          <w:tcPr>
            <w:tcW w:type="dxa" w:w="328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Expected &gt; 0.05 (well calibrated at scale)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Best model</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Logistic Regression</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000000"/>
                <w:sz w:val="19"/>
                <w:szCs w:val="19"/>
              </w:rPr>
              <w:t xml:space="preserve">XGBoost or Gradient Boosting</w:t>
            </w:r>
          </w:p>
        </w:tc>
      </w:tr>
    </w:tbl>
    <w:p>
      <w:pPr>
        <w:spacing w:after="100" w:before="0"/>
      </w:pPr>
      <w:r>
        <w:t xml:space="preserve"/>
      </w:r>
    </w:p>
    <w:p>
      <w:pPr>
        <w:pBdr>
          <w:bottom w:val="single" w:color="CCCCCC" w:sz="2"/>
        </w:pBdr>
        <w:spacing w:after="0" w:before="200"/>
      </w:pPr>
      <w:r>
        <w:t xml:space="preserve"/>
      </w:r>
    </w:p>
    <w:p>
      <w:pPr>
        <w:spacing w:after="100" w:before="0"/>
      </w:pPr>
      <w:r>
        <w:t xml:space="preserve"/>
      </w:r>
    </w:p>
    <w:p>
      <w:pPr>
        <w:pStyle w:val="Heading1"/>
        <w:pBdr>
          <w:bottom w:val="single" w:color="000000" w:sz="5" w:space="1"/>
        </w:pBdr>
        <w:spacing w:after="140" w:before="360"/>
      </w:pPr>
      <w:r>
        <w:rPr>
          <w:rFonts w:ascii="Arial" w:cs="Arial" w:eastAsia="Arial" w:hAnsi="Arial"/>
          <w:b/>
          <w:bCs/>
          <w:sz w:val="28"/>
          <w:szCs w:val="28"/>
        </w:rPr>
        <w:t xml:space="preserve">Summary</w:t>
      </w:r>
    </w:p>
    <w:p>
      <w:pPr>
        <w:spacing w:after="100" w:before="60"/>
      </w:pPr>
      <w:r>
        <w:rPr>
          <w:rFonts w:ascii="Arial" w:cs="Arial" w:eastAsia="Arial" w:hAnsi="Arial"/>
          <w:sz w:val="22"/>
          <w:szCs w:val="22"/>
        </w:rPr>
        <w:t xml:space="preserve">IDRIB reads 39 clinical features from real MIMIC-IV hospital records and scores every ICU patient at discharge on a 0-to-100 risk scale. Patients scoring 70 or above are HIGH risk; 40–69 are MEDIUM; below 40 are LOW. Each tier triggers a defined clinical follow-up protocol, flagged for clinician review.</w:t>
      </w:r>
    </w:p>
    <w:p>
      <w:pPr>
        <w:spacing w:after="100" w:before="60"/>
      </w:pPr>
      <w:r>
        <w:rPr>
          <w:rFonts w:ascii="Arial" w:cs="Arial" w:eastAsia="Arial" w:hAnsi="Arial"/>
          <w:sz w:val="22"/>
          <w:szCs w:val="22"/>
        </w:rPr>
        <w:t xml:space="preserve">The best model — Logistic Regression with SMOTE correction — achieves a cross-validation PR-AUC of 0.370 on 30-day readmission (2.5× above random baseline) and 0.445 on 90-day (2.5× above baseline). On the held-out test set, PR-AUC reaches 0.492 (3.4× above baseline). SHAP explainability identifies the top three clinical drivers for every patient. Hosmer-Lemeshow calibration was poor on 100 patients and corrected with Platt Scaling.</w:t>
      </w:r>
    </w:p>
    <w:p>
      <w:pPr>
        <w:spacing w:after="100" w:before="60"/>
      </w:pPr>
      <w:r>
        <w:rPr>
          <w:rFonts w:ascii="Arial" w:cs="Arial" w:eastAsia="Arial" w:hAnsi="Arial"/>
          <w:sz w:val="22"/>
          <w:szCs w:val="22"/>
        </w:rPr>
        <w:t xml:space="preserve">The methodology is sound, the results are honest, and the architecture ports directly to the full 65,000-patient dataset with four code-level changes. The scoring engine is ready to serve as the foundation for the bot layer.</w:t>
      </w:r>
    </w:p>
    <w:p>
      <w:pPr>
        <w:spacing w:after="100" w:before="0"/>
      </w:pPr>
      <w:r>
        <w:t xml:space="preserve"/>
      </w:r>
    </w:p>
    <w:p>
      <w:pPr>
        <w:pBdr>
          <w:top w:val="single" w:color="000000" w:sz="3"/>
        </w:pBdr>
        <w:spacing w:after="0" w:before="180"/>
      </w:pPr>
      <w:r>
        <w:rPr>
          <w:rFonts w:ascii="Arial" w:cs="Arial" w:eastAsia="Arial" w:hAnsi="Arial"/>
          <w:sz w:val="18"/>
          <w:szCs w:val="18"/>
        </w:rPr>
        <w:t xml:space="preserve">MS Health Informatics Capstone  |  Hofstra University  |  MIMIC-IV Demo v2.2  |  April 2026</w:t>
      </w:r>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7"/>
        <w:szCs w:val="17"/>
      </w:rPr>
      <w:t xml:space="preserve">IDRIB Scoring Engine  |  Hofstra University MS Health Informatics  |  April 2026  |  Page </w:t>
    </w:r>
    <w:r>
      <w:rPr>
        <w:rFonts w:ascii="Arial" w:cs="Arial" w:eastAsia="Arial" w:hAnsi="Arial"/>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sz w:val="28"/>
      <w:szCs w:val="28"/>
    </w:rPr>
  </w:style>
  <w:style w:type="paragraph" w:styleId="Heading2">
    <w:name w:val="Heading 2"/>
    <w:basedOn w:val="Normal"/>
    <w:next w:val="Normal"/>
    <w:qFormat/>
    <w:pPr>
      <w:spacing w:after="8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2026-05-06T13:39:47.834Z</dcterms:created>
  <dcterms:modified xsi:type="dcterms:W3CDTF">2026-05-06T13:39:47.854Z</dcterms:modified>
</cp:coreProperties>
</file>

<file path=docProps/custom.xml><?xml version="1.0" encoding="utf-8"?>
<Properties xmlns="http://schemas.openxmlformats.org/officeDocument/2006/custom-properties" xmlns:vt="http://schemas.openxmlformats.org/officeDocument/2006/docPropsVTypes"/>
</file>