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80"/>
        <w:gridCol w:w="3000"/>
        <w:gridCol w:w="3180"/>
      </w:tblGrid>
      <w:t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90500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pStyle w:val="Heading1"/>
        <w:spacing w:before="120"/>
        <w:jc w:val="center"/>
      </w:pPr>
      <w:r>
        <w:rPr>
          <w:b/>
          <w:bCs/>
        </w:rPr>
        <w:t xml:space="preserve">FACILITY ASSESSMENT SNAPSHOT</w:t>
      </w:r>
    </w:p>
    <w:p>
      <w:pPr>
        <w:jc w:val="center"/>
      </w:pPr>
      <w:r>
        <w:rPr>
          <w:b/>
          <w:bCs/>
          <w:color w:val="1F6FEB"/>
          <w:sz w:val="22"/>
          <w:szCs w:val="22"/>
        </w:rPr>
        <w:t xml:space="preserve">FL</w:t>
      </w:r>
    </w:p>
    <w:p>
      <w:pPr>
        <w:spacing w:after="120" w:before="240"/>
      </w:pPr>
      <w:r>
        <w:rPr>
          <w:b/>
          <w:bCs/>
          <w:color w:val="0F2A4A"/>
          <w:sz w:val="24"/>
          <w:szCs w:val="24"/>
        </w:rPr>
        <w:t xml:space="preserve">Facility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00"/>
        <w:gridCol w:w="3560"/>
      </w:tblGrid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Name of Facility</w:t>
            </w:r>
          </w:p>
        </w:tc>
        <w:tc>
          <w:tcPr>
            <w:tcW w:type="dxa" w:w="3560"/>
          </w:tcPr>
          <w:p>
            <w:r>
              <w:t xml:space="preserve">KENDALL LAKES HEALTHCARE AND REHAB CENTER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3560"/>
          </w:tcPr>
          <w:p>
            <w:r>
              <w:t xml:space="preserve">5280 SW 157 AVENUE, Miami, FL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EMR</w:t>
            </w:r>
          </w:p>
        </w:tc>
        <w:tc>
          <w:tcPr>
            <w:tcW w:type="dxa" w:w="3560"/>
          </w:tcPr>
          <w:p>
            <w:r>
              <w:t xml:space="preserve">PCC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Census Capacity</w:t>
            </w:r>
          </w:p>
        </w:tc>
        <w:tc>
          <w:tcPr>
            <w:tcW w:type="dxa" w:w="3560"/>
          </w:tcPr>
          <w:p>
            <w:r>
              <w:t xml:space="preserve">150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Current Census</w:t>
            </w:r>
          </w:p>
        </w:tc>
        <w:tc>
          <w:tcPr>
            <w:tcW w:type="dxa" w:w="3560"/>
          </w:tcPr>
          <w:p>
            <w:r>
              <w:t xml:space="preserve">112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Type of Patient</w:t>
            </w:r>
          </w:p>
        </w:tc>
        <w:tc>
          <w:tcPr>
            <w:tcW w:type="dxa" w:w="3560"/>
          </w:tcPr>
          <w:p>
            <w:r>
              <w:t xml:space="preserve">Long-term &amp; Short-term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Previous Coverage from Medelite</w:t>
            </w:r>
          </w:p>
        </w:tc>
        <w:tc>
          <w:tcPr>
            <w:tcW w:type="dxa" w:w="3560"/>
          </w:tcPr>
          <w:p>
            <w:r>
              <w:t xml:space="preserve">Yes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Previous Provider Performance from Medelite</w:t>
            </w:r>
          </w:p>
        </w:tc>
        <w:tc>
          <w:tcPr>
            <w:tcW w:type="dxa" w:w="3560"/>
          </w:tcPr>
          <w:p>
            <w:r>
              <w:t xml:space="preserve">About 30 patients/day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Medical Coverage</w:t>
            </w:r>
          </w:p>
        </w:tc>
        <w:tc>
          <w:tcPr>
            <w:tcW w:type="dxa" w:w="3560"/>
          </w:tcPr>
          <w:p>
            <w:r>
              <w:t xml:space="preserve">Optometry, PCP, Podiatry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Overall Star Rating</w:t>
            </w:r>
          </w:p>
        </w:tc>
        <w:tc>
          <w:tcPr>
            <w:tcW w:type="dxa" w:w="3560"/>
          </w:tcPr>
          <w:p>
            <w:r>
              <w:t xml:space="preserve">5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Health Inspection</w:t>
            </w:r>
          </w:p>
        </w:tc>
        <w:tc>
          <w:tcPr>
            <w:tcW w:type="dxa" w:w="3560"/>
          </w:tcPr>
          <w:p>
            <w:r>
              <w:t xml:space="preserve">5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Staffing</w:t>
            </w:r>
          </w:p>
        </w:tc>
        <w:tc>
          <w:tcPr>
            <w:tcW w:type="dxa" w:w="3560"/>
          </w:tcPr>
          <w:p>
            <w:r>
              <w:t xml:space="preserve">2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Quality of Resident Care</w:t>
            </w:r>
          </w:p>
        </w:tc>
        <w:tc>
          <w:tcPr>
            <w:tcW w:type="dxa" w:w="3560"/>
          </w:tcPr>
          <w:p>
            <w:r>
              <w:t xml:space="preserve">5</w:t>
            </w:r>
          </w:p>
        </w:tc>
      </w:tr>
    </w:tbl>
    <w:p>
      <w:pPr>
        <w:spacing w:after="120" w:before="240"/>
      </w:pPr>
      <w:r>
        <w:rPr>
          <w:b/>
          <w:bCs/>
          <w:color w:val="0F2A4A"/>
          <w:sz w:val="24"/>
          <w:szCs w:val="24"/>
        </w:rPr>
        <w:t xml:space="preserve">Hospitalization &amp; ED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00"/>
        <w:gridCol w:w="3560"/>
      </w:tblGrid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Short Term Hospitalization</w:t>
            </w:r>
          </w:p>
        </w:tc>
        <w:tc>
          <w:tcPr>
            <w:tcW w:type="dxa" w:w="3560"/>
          </w:tcPr>
          <w:p>
            <w:r>
              <w:t xml:space="preserve">25.58%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STR National Avg. for Hospitalization</w:t>
            </w:r>
          </w:p>
        </w:tc>
        <w:tc>
          <w:tcPr>
            <w:tcW w:type="dxa" w:w="3560"/>
          </w:tcPr>
          <w:p>
            <w:r>
              <w:t xml:space="preserve">23.88%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STR State National Avg. for Hospitalization</w:t>
            </w:r>
          </w:p>
        </w:tc>
        <w:tc>
          <w:tcPr>
            <w:tcW w:type="dxa" w:w="3560"/>
          </w:tcPr>
          <w:p>
            <w:r>
              <w:t xml:space="preserve">26.20%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STR ED Visit</w:t>
            </w:r>
          </w:p>
        </w:tc>
        <w:tc>
          <w:tcPr>
            <w:tcW w:type="dxa" w:w="3560"/>
          </w:tcPr>
          <w:p>
            <w:r>
              <w:t xml:space="preserve">8.09%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STR ED Visits National Avg.</w:t>
            </w:r>
          </w:p>
        </w:tc>
        <w:tc>
          <w:tcPr>
            <w:tcW w:type="dxa" w:w="3560"/>
          </w:tcPr>
          <w:p>
            <w:r>
              <w:t xml:space="preserve">12.01%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STR ED Visits State Avg.</w:t>
            </w:r>
          </w:p>
        </w:tc>
        <w:tc>
          <w:tcPr>
            <w:tcW w:type="dxa" w:w="3560"/>
          </w:tcPr>
          <w:p>
            <w:r>
              <w:t xml:space="preserve">9.16%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LT Hospitalization</w:t>
            </w:r>
          </w:p>
        </w:tc>
        <w:tc>
          <w:tcPr>
            <w:tcW w:type="dxa" w:w="3560"/>
          </w:tcPr>
          <w:p>
            <w:r>
              <w:t xml:space="preserve">2.75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LT National Avg. for Hospitalization</w:t>
            </w:r>
          </w:p>
        </w:tc>
        <w:tc>
          <w:tcPr>
            <w:tcW w:type="dxa" w:w="3560"/>
          </w:tcPr>
          <w:p>
            <w:r>
              <w:t xml:space="preserve">1.90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LT State National Avg. for Hospitalization</w:t>
            </w:r>
          </w:p>
        </w:tc>
        <w:tc>
          <w:tcPr>
            <w:tcW w:type="dxa" w:w="3560"/>
          </w:tcPr>
          <w:p>
            <w:r>
              <w:t xml:space="preserve">2.15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ED Visit</w:t>
            </w:r>
          </w:p>
        </w:tc>
        <w:tc>
          <w:tcPr>
            <w:tcW w:type="dxa" w:w="3560"/>
          </w:tcPr>
          <w:p>
            <w:r>
              <w:t xml:space="preserve">0.91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LT ED Visits National Avg.</w:t>
            </w:r>
          </w:p>
        </w:tc>
        <w:tc>
          <w:tcPr>
            <w:tcW w:type="dxa" w:w="3560"/>
          </w:tcPr>
          <w:p>
            <w:r>
              <w:t xml:space="preserve">1.80</w:t>
            </w:r>
          </w:p>
        </w:tc>
      </w:tr>
      <w:tr>
        <w:tc>
          <w:tcPr>
            <w:tcW w:type="dxa" w:w="5800"/>
          </w:tcPr>
          <w:p>
            <w:r>
              <w:rPr>
                <w:b/>
                <w:bCs/>
              </w:rPr>
              <w:t xml:space="preserve">LT ED Visits State Avg.</w:t>
            </w:r>
          </w:p>
        </w:tc>
        <w:tc>
          <w:tcPr>
            <w:tcW w:type="dxa" w:w="3560"/>
          </w:tcPr>
          <w:p>
            <w:r>
              <w:t xml:space="preserve">1.16</w:t>
            </w:r>
          </w:p>
        </w:tc>
      </w:tr>
    </w:tbl>
    <w:p>
      <w:pPr>
        <w:spacing w:before="240"/>
        <w:jc w:val="left"/>
      </w:pPr>
      <w:hyperlink w:history="1" r:id="rIdot7_reav0hgi6q4w9mfq6">
        <w:r>
          <w:rPr>
            <w:b/>
            <w:bCs/>
            <w:color w:val="1F6FEB"/>
            <w:sz w:val="22"/>
            <w:szCs w:val="22"/>
            <w:u w:val="single"/>
          </w:rPr>
          <w:t xml:space="preserve">View on Medicare.gov</w:t>
        </w:r>
      </w:hyperlink>
    </w:p>
    <w:p>
      <w:pPr>
        <w:jc w:val="left"/>
      </w:pPr>
      <w:r>
        <w:rPr>
          <w:color w:val="57606A"/>
          <w:sz w:val="16"/>
          <w:szCs w:val="16"/>
        </w:rPr>
        <w:t xml:space="preserve">https://www.medicare.gov/care-compare/details/nursing-home/686123</w:t>
      </w:r>
    </w:p>
    <w:p>
      <w:pPr>
        <w:spacing w:before="360"/>
        <w:jc w:val="center"/>
      </w:pPr>
      <w:r>
        <w:rPr>
          <w:color w:val="57606A"/>
          <w:sz w:val="14"/>
          <w:szCs w:val="14"/>
        </w:rPr>
        <w:t xml:space="preserve">INFINITE — Managed by MEDELITE · Data sourced from CMS Provider Data Catalog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t7_reav0hgi6q4w9mfq6" Type="http://schemas.openxmlformats.org/officeDocument/2006/relationships/hyperlink" Target="https://www.medicare.gov/care-compare/details/nursing-home/686123" TargetMode="External"/><Relationship Id="rId7" Type="http://schemas.openxmlformats.org/officeDocument/2006/relationships/image" Target="media/e0f0affe2b1bf17cc354927cd4e09734bd7b61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2026-06-20T03:01:07.437Z</dcterms:created>
  <dcterms:modified xsi:type="dcterms:W3CDTF">2026-06-20T03:01:07.437Z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