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rocket-lab-rklb-投研分析报告"/>
    <w:p>
      <w:pPr>
        <w:pStyle w:val="Heading1"/>
      </w:pPr>
      <w:r>
        <w:t xml:space="preserve">Rocket Lab (RKLB) </w:t>
      </w:r>
      <w:r>
        <w:rPr>
          <w:rFonts w:hint="eastAsia"/>
        </w:rPr>
        <w:t xml:space="preserve">投研分析报告</w:t>
      </w:r>
    </w:p>
    <w:p>
      <w:pPr>
        <w:pStyle w:val="BlockText"/>
      </w:pPr>
      <w:r>
        <w:rPr>
          <w:rFonts w:hint="eastAsia"/>
          <w:b/>
          <w:bCs/>
        </w:rPr>
        <w:t xml:space="preserve">分析日期</w:t>
      </w:r>
      <w:r>
        <w:rPr>
          <w:rFonts w:hint="eastAsia"/>
        </w:rPr>
        <w:t xml:space="preserve">：2026年4月29日</w:t>
      </w:r>
      <w:r>
        <w:br/>
      </w:r>
      <w:r>
        <w:rPr>
          <w:rFonts w:hint="eastAsia"/>
          <w:b/>
          <w:bCs/>
        </w:rPr>
        <w:t xml:space="preserve">当前价格</w:t>
      </w:r>
      <w:r>
        <w:rPr>
          <w:rFonts w:hint="eastAsia"/>
        </w:rPr>
        <w:t xml:space="preserve">：$78.59（盘中</w:t>
      </w:r>
      <w:r>
        <w:t xml:space="preserve"> $77.60 ~ </w:t>
      </w:r>
      <w:r>
        <w:rPr>
          <w:rFonts w:hint="eastAsia"/>
        </w:rPr>
        <w:t xml:space="preserve">$81.78）</w:t>
      </w:r>
      <w:r>
        <w:br/>
      </w:r>
      <w:r>
        <w:rPr>
          <w:rFonts w:hint="eastAsia"/>
          <w:b/>
          <w:bCs/>
        </w:rPr>
        <w:t xml:space="preserve">前收盘</w:t>
      </w:r>
      <w:r>
        <w:rPr>
          <w:rFonts w:hint="eastAsia"/>
        </w:rPr>
        <w:t xml:space="preserve">：$82.29</w:t>
      </w:r>
      <w:r>
        <w:br/>
      </w:r>
      <w:r>
        <w:rPr>
          <w:rFonts w:hint="eastAsia"/>
          <w:b/>
          <w:bCs/>
        </w:rPr>
        <w:t xml:space="preserve">52周区间</w:t>
      </w:r>
      <w:r>
        <w:rPr>
          <w:rFonts w:hint="eastAsia"/>
        </w:rPr>
        <w:t xml:space="preserve">：约</w:t>
      </w:r>
      <w:r>
        <w:t xml:space="preserve"> $20.23 ~ $99.58</w:t>
      </w:r>
      <w:r>
        <w:br/>
      </w:r>
      <w:r>
        <w:rPr>
          <w:rFonts w:hint="eastAsia"/>
          <w:b/>
          <w:bCs/>
        </w:rPr>
        <w:t xml:space="preserve">分析类型</w:t>
      </w:r>
      <w:r>
        <w:rPr>
          <w:rFonts w:hint="eastAsia"/>
        </w:rPr>
        <w:t xml:space="preserve">：Swing</w:t>
      </w:r>
      <w:r>
        <w:t xml:space="preserve"> Trade </w:t>
      </w:r>
      <w:r>
        <w:rPr>
          <w:rFonts w:hint="eastAsia"/>
        </w:rPr>
        <w:t xml:space="preserve">共振分析</w:t>
      </w:r>
      <w:r>
        <w:br/>
      </w:r>
      <w:r>
        <w:rPr>
          <w:rFonts w:hint="eastAsia"/>
          <w:b/>
          <w:bCs/>
        </w:rPr>
        <w:t xml:space="preserve">风格标签</w:t>
      </w:r>
      <w:r>
        <w:rPr>
          <w:rFonts w:hint="eastAsia"/>
        </w:rPr>
        <w:t xml:space="preserve">：拐点</w:t>
      </w:r>
      <w:r>
        <w:t xml:space="preserve"> / </w:t>
      </w:r>
      <w:r>
        <w:rPr>
          <w:rFonts w:hint="eastAsia"/>
        </w:rPr>
        <w:t xml:space="preserve">超级成长</w:t>
      </w:r>
      <w:r>
        <w:t xml:space="preserve"> / </w:t>
      </w:r>
      <w:r>
        <w:rPr>
          <w:rFonts w:hint="eastAsia"/>
        </w:rPr>
        <w:t xml:space="preserve">政策驱动</w:t>
      </w:r>
      <w:r>
        <w:t xml:space="preserve"> / </w:t>
      </w:r>
      <w:r>
        <w:rPr>
          <w:rFonts w:hint="eastAsia"/>
        </w:rPr>
        <w:t xml:space="preserve">太空经济</w:t>
      </w:r>
    </w:p>
    <w:p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一宏观方向">
        <w:r>
          <w:rPr>
            <w:rStyle w:val="Hyperlink"/>
            <w:rFonts w:hint="eastAsia"/>
          </w:rPr>
          <w:t xml:space="preserve">宏观方向</w:t>
        </w:r>
      </w:hyperlink>
    </w:p>
    <w:p>
      <w:pPr>
        <w:pStyle w:val="Compact"/>
        <w:numPr>
          <w:ilvl w:val="0"/>
          <w:numId w:val="1001"/>
        </w:numPr>
      </w:pPr>
      <w:hyperlink w:anchor="二初筛验证">
        <w:r>
          <w:rPr>
            <w:rStyle w:val="Hyperlink"/>
            <w:rFonts w:hint="eastAsia"/>
          </w:rPr>
          <w:t xml:space="preserve">初筛验证</w:t>
        </w:r>
      </w:hyperlink>
    </w:p>
    <w:p>
      <w:pPr>
        <w:pStyle w:val="Compact"/>
        <w:numPr>
          <w:ilvl w:val="0"/>
          <w:numId w:val="1001"/>
        </w:numPr>
      </w:pPr>
      <w:hyperlink w:anchor="三基本面深度分析">
        <w:r>
          <w:rPr>
            <w:rStyle w:val="Hyperlink"/>
            <w:rFonts w:hint="eastAsia"/>
          </w:rPr>
          <w:t xml:space="preserve">基本面深度分析</w:t>
        </w:r>
      </w:hyperlink>
    </w:p>
    <w:p>
      <w:pPr>
        <w:pStyle w:val="Compact"/>
        <w:numPr>
          <w:ilvl w:val="0"/>
          <w:numId w:val="1001"/>
        </w:numPr>
      </w:pPr>
      <w:hyperlink w:anchor="四技术面精准分析">
        <w:r>
          <w:rPr>
            <w:rStyle w:val="Hyperlink"/>
            <w:rFonts w:hint="eastAsia"/>
          </w:rPr>
          <w:t xml:space="preserve">技术面精准分析</w:t>
        </w:r>
      </w:hyperlink>
    </w:p>
    <w:p>
      <w:pPr>
        <w:pStyle w:val="Compact"/>
        <w:numPr>
          <w:ilvl w:val="0"/>
          <w:numId w:val="1001"/>
        </w:numPr>
      </w:pPr>
      <w:hyperlink w:anchor="五资金情绪共振验证">
        <w:r>
          <w:rPr>
            <w:rStyle w:val="Hyperlink"/>
            <w:rFonts w:hint="eastAsia"/>
          </w:rPr>
          <w:t xml:space="preserve">资金+情绪共振验证</w:t>
        </w:r>
      </w:hyperlink>
    </w:p>
    <w:p>
      <w:pPr>
        <w:pStyle w:val="Compact"/>
        <w:numPr>
          <w:ilvl w:val="0"/>
          <w:numId w:val="1001"/>
        </w:numPr>
      </w:pPr>
      <w:hyperlink w:anchor="六交易计划建议">
        <w:r>
          <w:rPr>
            <w:rStyle w:val="Hyperlink"/>
            <w:rFonts w:hint="eastAsia"/>
          </w:rPr>
          <w:t xml:space="preserve">交易计划建议</w:t>
        </w:r>
      </w:hyperlink>
    </w:p>
    <w:p>
      <w:pPr>
        <w:pStyle w:val="Compact"/>
        <w:numPr>
          <w:ilvl w:val="0"/>
          <w:numId w:val="1001"/>
        </w:numPr>
      </w:pPr>
      <w:hyperlink w:anchor="七持仓跟踪与风控">
        <w:r>
          <w:rPr>
            <w:rStyle w:val="Hyperlink"/>
            <w:rFonts w:hint="eastAsia"/>
          </w:rPr>
          <w:t xml:space="preserve">持仓跟踪与风控</w:t>
        </w:r>
      </w:hyperlink>
    </w:p>
    <w:p>
      <w:pPr>
        <w:pStyle w:val="Compact"/>
        <w:numPr>
          <w:ilvl w:val="0"/>
          <w:numId w:val="1001"/>
        </w:numPr>
      </w:pPr>
      <w:hyperlink w:anchor="八综合结论">
        <w:r>
          <w:rPr>
            <w:rStyle w:val="Hyperlink"/>
            <w:rFonts w:hint="eastAsia"/>
          </w:rPr>
          <w:t xml:space="preserve">综合结论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2" w:name="一宏观方向"/>
    <w:p>
      <w:pPr>
        <w:pStyle w:val="Heading2"/>
      </w:pPr>
      <w:r>
        <w:rPr>
          <w:rFonts w:hint="eastAsia"/>
        </w:rPr>
        <w:t xml:space="preserve">一、宏观方向</w:t>
      </w:r>
    </w:p>
    <w:bookmarkStart w:id="10" w:name="当前环境判断"/>
    <w:p>
      <w:pPr>
        <w:pStyle w:val="Heading3"/>
      </w:pPr>
      <w:r>
        <w:rPr>
          <w:rFonts w:hint="eastAsia"/>
        </w:rPr>
        <w:t xml:space="preserve">当前环境判断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太空经济周期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卫星互联网、SDA星座、商业发射需求爆发，进入超级周期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政策环境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美国太空军/SDA加速部署，国防预算向太空倾斜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竞争格局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SpaceX主导大型发射，Rocket</w:t>
            </w:r>
            <w:r>
              <w:t xml:space="preserve"> </w:t>
            </w:r>
            <w:r>
              <w:rPr>
                <w:rFonts w:hint="eastAsia"/>
              </w:rPr>
              <w:t xml:space="preserve">Lab在小型发射和太空系统领域建立壁垒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技术迭代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Neutron中型火箭即将首飞，进入SpaceX核心市场</w:t>
            </w:r>
          </w:p>
        </w:tc>
      </w:tr>
    </w:tbl>
    <w:bookmarkEnd w:id="10"/>
    <w:bookmarkStart w:id="11" w:name="关键行业逻辑"/>
    <w:p>
      <w:pPr>
        <w:pStyle w:val="Heading3"/>
      </w:pPr>
      <w:r>
        <w:rPr>
          <w:rFonts w:hint="eastAsia"/>
        </w:rPr>
        <w:t xml:space="preserve">关键行业逻辑</w:t>
      </w:r>
    </w:p>
    <w:p>
      <w:pPr>
        <w:pStyle w:val="BlockText"/>
      </w:pPr>
      <w:r>
        <w:t xml:space="preserve">Rocket Lab CEO Peter Beck </w:t>
      </w:r>
      <w:r>
        <w:rPr>
          <w:rFonts w:hint="eastAsia"/>
        </w:rPr>
        <w:t xml:space="preserve">的定位：</w:t>
      </w:r>
      <w:r>
        <w:rPr>
          <w:rFonts w:hint="eastAsia"/>
        </w:rPr>
        <w:t xml:space="preserve">“我们要成为太空领域的端到端基础设施公司，不只是发射服务商。”</w:t>
      </w:r>
    </w:p>
    <w:p>
      <w:pPr>
        <w:pStyle w:val="FirstParagraph"/>
      </w:pPr>
      <w:r>
        <w:rPr>
          <w:rFonts w:hint="eastAsia"/>
          <w:b/>
          <w:bCs/>
        </w:rPr>
        <w:t xml:space="preserve">核心拐点叙事</w:t>
      </w:r>
      <w:r>
        <w:rPr>
          <w:rFonts w:hint="eastAsia"/>
        </w:rPr>
        <w:t xml:space="preserve">：Rocket</w:t>
      </w:r>
      <w:r>
        <w:t xml:space="preserve"> Lab </w:t>
      </w:r>
      <w:r>
        <w:rPr>
          <w:rFonts w:hint="eastAsia"/>
        </w:rPr>
        <w:t xml:space="preserve">正在从”小型发射服务商”向”端到端太空基础设施平台”转型。$1.85B</w:t>
      </w:r>
      <w:r>
        <w:t xml:space="preserve"> backlog </w:t>
      </w:r>
      <w:r>
        <w:rPr>
          <w:rFonts w:hint="eastAsia"/>
        </w:rPr>
        <w:t xml:space="preserve">中74%来自太空系统（卫星制造+组件），发射仅占26%。收购Mynaric（激光通信）和一系列垂直整合举措，使其成为除SpaceX外最完整的太空公司。Neutron火箭若成功首飞，将打开中型发射市场，直接挑战SpaceX的Falcon</w:t>
      </w:r>
      <w:r>
        <w:t xml:space="preserve"> 9。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二初筛验证"/>
    <w:p>
      <w:pPr>
        <w:pStyle w:val="Heading2"/>
      </w:pPr>
      <w:r>
        <w:rPr>
          <w:rFonts w:hint="eastAsia"/>
        </w:rPr>
        <w:t xml:space="preserve">二、初筛验证</w:t>
      </w:r>
    </w:p>
    <w:p>
      <w:pPr>
        <w:pStyle w:val="FirstParagraph"/>
      </w:pPr>
      <w:r>
        <w:t xml:space="preserve">RKLB </w:t>
      </w:r>
      <w:r>
        <w:rPr>
          <w:rFonts w:hint="eastAsia"/>
        </w:rPr>
        <w:t xml:space="preserve">通过”超级成长+拐点+政策驱动”筛选器的验证：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2828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筛选条件</w:t>
            </w:r>
          </w:p>
        </w:tc>
        <w:tc>
          <w:tcPr/>
          <w:p>
            <w:pPr>
              <w:pStyle w:val="Compact"/>
            </w:pPr>
            <w:r>
              <w:t xml:space="preserve">RKLB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成长性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2025营收$602M（+38%</w:t>
            </w:r>
            <w:r>
              <w:t xml:space="preserve"> </w:t>
            </w:r>
            <w:r>
              <w:rPr>
                <w:rFonts w:hint="eastAsia"/>
              </w:rPr>
              <w:t xml:space="preserve">YoY）；backlog</w:t>
            </w:r>
            <w:r>
              <w:t xml:space="preserve"> </w:t>
            </w:r>
            <w:r>
              <w:rPr>
                <w:rFonts w:hint="eastAsia"/>
              </w:rPr>
              <w:t xml:space="preserve">$1.85B（+73%）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强烈通过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拐点信号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从单一发射向太空系统平台转型；毛利率从负转正趋势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政策/国防</w:t>
            </w:r>
          </w:p>
        </w:tc>
        <w:tc>
          <w:tcPr/>
          <w:p>
            <w:pPr>
              <w:pStyle w:val="Compact"/>
            </w:pPr>
            <w:r>
              <w:t xml:space="preserve">$816M SDA Tranche </w:t>
            </w:r>
            <w:r>
              <w:rPr>
                <w:rFonts w:hint="eastAsia"/>
              </w:rPr>
              <w:t xml:space="preserve">III（公司史上最大合同）；累计SDA合同&gt;$1.3B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强烈通过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趋势强度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52周涨幅251%；MA20/MA50多头排列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机构背书</w:t>
            </w:r>
          </w:p>
        </w:tc>
        <w:tc>
          <w:tcPr/>
          <w:p>
            <w:pPr>
              <w:pStyle w:val="Compact"/>
            </w:pPr>
            <w:r>
              <w:t xml:space="preserve">Stifel/Roth </w:t>
            </w:r>
            <w:r>
              <w:rPr>
                <w:rFonts w:hint="eastAsia"/>
              </w:rPr>
              <w:t xml:space="preserve">MKM上调目标价至$100-$105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9" w:name="三基本面深度分析"/>
    <w:p>
      <w:pPr>
        <w:pStyle w:val="Heading2"/>
      </w:pPr>
      <w:r>
        <w:rPr>
          <w:rFonts w:hint="eastAsia"/>
        </w:rPr>
        <w:t xml:space="preserve">三、基本面深度分析</w:t>
      </w:r>
    </w:p>
    <w:bookmarkStart w:id="14" w:name="全年及-q4-财报核心数据"/>
    <w:p>
      <w:pPr>
        <w:pStyle w:val="Heading3"/>
      </w:pPr>
      <w:r>
        <w:t xml:space="preserve">2025 </w:t>
      </w:r>
      <w:r>
        <w:rPr>
          <w:rFonts w:hint="eastAsia"/>
        </w:rPr>
        <w:t xml:space="preserve">全年及</w:t>
      </w:r>
      <w:r>
        <w:t xml:space="preserve"> Q4 </w:t>
      </w:r>
      <w:r>
        <w:rPr>
          <w:rFonts w:hint="eastAsia"/>
        </w:rPr>
        <w:t xml:space="preserve">财报核心数据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2025全年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同比变化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总营收</w:t>
            </w:r>
          </w:p>
        </w:tc>
        <w:tc>
          <w:tcPr/>
          <w:p>
            <w:pPr>
              <w:pStyle w:val="Compact"/>
            </w:pPr>
            <w:r>
              <w:t xml:space="preserve">$602M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+38%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创公司纪录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Q4营收</w:t>
            </w:r>
          </w:p>
        </w:tc>
        <w:tc>
          <w:tcPr/>
          <w:p>
            <w:pPr>
              <w:pStyle w:val="Compact"/>
            </w:pPr>
            <w:r>
              <w:t xml:space="preserve">$180M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+36%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连续高增长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Q4 </w:t>
            </w:r>
            <w:r>
              <w:rPr>
                <w:rFonts w:hint="eastAsia"/>
                <w:b/>
                <w:bCs/>
              </w:rPr>
              <w:t xml:space="preserve">GAAP毛利率</w:t>
            </w:r>
          </w:p>
        </w:tc>
        <w:tc>
          <w:tcPr/>
          <w:p>
            <w:pPr>
              <w:pStyle w:val="Compact"/>
            </w:pPr>
            <w:r>
              <w:t xml:space="preserve">38%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大幅改善</w:t>
            </w:r>
          </w:p>
        </w:tc>
        <w:tc>
          <w:tcPr/>
          <w:p>
            <w:pPr>
              <w:pStyle w:val="Compact"/>
            </w:pPr>
            <w:r>
              <w:t xml:space="preserve">non-GAAP 44.3%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净利润(TTM)</w:t>
            </w:r>
          </w:p>
        </w:tc>
        <w:tc>
          <w:tcPr/>
          <w:p>
            <w:pPr>
              <w:pStyle w:val="Compact"/>
            </w:pPr>
            <w:r>
              <w:t xml:space="preserve">-$198M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仍在亏损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但EBITDA亏损收窄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EPS(TTM)</w:t>
            </w:r>
          </w:p>
        </w:tc>
        <w:tc>
          <w:tcPr/>
          <w:p>
            <w:pPr>
              <w:pStyle w:val="Compact"/>
            </w:pPr>
            <w:r>
              <w:t xml:space="preserve">-$0.37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Q4 EPS -$0.09 </w:t>
            </w:r>
            <w:r>
              <w:rPr>
                <w:rFonts w:hint="eastAsia"/>
              </w:rPr>
              <w:t xml:space="preserve">符合预期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现金</w:t>
            </w:r>
          </w:p>
        </w:tc>
        <w:tc>
          <w:tcPr/>
          <w:p>
            <w:pPr>
              <w:pStyle w:val="Compact"/>
            </w:pPr>
            <w:r>
              <w:t xml:space="preserve">$1.02B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弹药充足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债务</w:t>
            </w:r>
          </w:p>
        </w:tc>
        <w:tc>
          <w:tcPr/>
          <w:p>
            <w:pPr>
              <w:pStyle w:val="Compact"/>
            </w:pPr>
            <w:r>
              <w:t xml:space="preserve">$265M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债务率低（15.4%</w:t>
            </w:r>
            <w:r>
              <w:t xml:space="preserve"> </w:t>
            </w:r>
            <w:r>
              <w:rPr>
                <w:rFonts w:hint="eastAsia"/>
              </w:rPr>
              <w:t xml:space="preserve">D/E）</w:t>
            </w:r>
          </w:p>
        </w:tc>
      </w:tr>
    </w:tbl>
    <w:bookmarkEnd w:id="14"/>
    <w:bookmarkStart w:id="15" w:name="分业务表现"/>
    <w:p>
      <w:pPr>
        <w:pStyle w:val="Heading3"/>
      </w:pPr>
      <w:r>
        <w:rPr>
          <w:rFonts w:hint="eastAsia"/>
        </w:rPr>
        <w:t xml:space="preserve">分业务表现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2227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业务板块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驱动力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太空系统</w:t>
            </w:r>
          </w:p>
        </w:tc>
        <w:tc>
          <w:tcPr/>
          <w:p>
            <w:pPr>
              <w:pStyle w:val="Compact"/>
            </w:pPr>
            <w:r>
              <w:t xml:space="preserve">~74% backlog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$1.85B总backlog中占大头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SDA卫星、组件、传感器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发射服务</w:t>
            </w:r>
          </w:p>
        </w:tc>
        <w:tc>
          <w:tcPr/>
          <w:p>
            <w:pPr>
              <w:pStyle w:val="Compact"/>
            </w:pPr>
            <w:r>
              <w:t xml:space="preserve">~26% backlog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2025年21次发射（纪录）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Electron小型火箭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Neutron（中型火箭）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尚未贡献收入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首飞推迟至Q4</w:t>
            </w:r>
            <w:r>
              <w:t xml:space="preserve"> 2026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对标Falcon</w:t>
            </w:r>
            <w:r>
              <w:t xml:space="preserve"> 9</w:t>
            </w:r>
          </w:p>
        </w:tc>
      </w:tr>
    </w:tbl>
    <w:bookmarkEnd w:id="15"/>
    <w:bookmarkStart w:id="16" w:name="成长驱动力验证"/>
    <w:p>
      <w:pPr>
        <w:pStyle w:val="Heading3"/>
      </w:pPr>
      <w:r>
        <w:rPr>
          <w:rFonts w:hint="eastAsia"/>
        </w:rPr>
        <w:t xml:space="preserve">成长驱动力验证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$1.85B </w:t>
      </w:r>
      <w:r>
        <w:rPr>
          <w:rFonts w:hint="eastAsia"/>
          <w:b/>
          <w:bCs/>
        </w:rPr>
        <w:t xml:space="preserve">创纪录</w:t>
      </w:r>
      <w:r>
        <w:rPr>
          <w:b/>
          <w:bCs/>
        </w:rPr>
        <w:t xml:space="preserve"> backlog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同比增长73%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预计37%在未来12个月转化为收入</w:t>
      </w:r>
    </w:p>
    <w:p>
      <w:pPr>
        <w:pStyle w:val="Compact"/>
        <w:numPr>
          <w:ilvl w:val="1"/>
          <w:numId w:val="1003"/>
        </w:numPr>
      </w:pPr>
      <w:r>
        <w:t xml:space="preserve">Space </w:t>
      </w:r>
      <w:r>
        <w:rPr>
          <w:rFonts w:hint="eastAsia"/>
        </w:rPr>
        <w:t xml:space="preserve">Systems占74%，发射占26%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SDA </w:t>
      </w:r>
      <w:r>
        <w:rPr>
          <w:rFonts w:hint="eastAsia"/>
          <w:b/>
          <w:bCs/>
        </w:rPr>
        <w:t xml:space="preserve">大单持续落地</w:t>
      </w:r>
    </w:p>
    <w:p>
      <w:pPr>
        <w:pStyle w:val="Compact"/>
        <w:numPr>
          <w:ilvl w:val="1"/>
          <w:numId w:val="1004"/>
        </w:numPr>
      </w:pPr>
      <w:r>
        <w:t xml:space="preserve">$816M SDA Tranche </w:t>
      </w:r>
      <w:r>
        <w:rPr>
          <w:rFonts w:hint="eastAsia"/>
        </w:rPr>
        <w:t xml:space="preserve">III（公司史上最大合同，18颗卫星）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累计SDA合同超过$1.3B（Tranche</w:t>
      </w:r>
      <w:r>
        <w:t xml:space="preserve"> II + </w:t>
      </w:r>
      <w:r>
        <w:rPr>
          <w:rFonts w:hint="eastAsia"/>
        </w:rPr>
        <w:t xml:space="preserve">III）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政府收入提供高度可见性和利润率支撑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发射业务龙头地位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2025年21次发射创公司纪录（Q4单季7次）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小型发射市场绝对领导者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HASTE（高超声速测试）领域唯一可信供应商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垂直整合战略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收购Mynaric（激光通信）——</w:t>
      </w:r>
      <w:r>
        <w:t xml:space="preserve"> </w:t>
      </w:r>
      <w:r>
        <w:rPr>
          <w:rFonts w:hint="eastAsia"/>
        </w:rPr>
        <w:t xml:space="preserve">已关闭交易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收购Geost、Optical</w:t>
      </w:r>
      <w:r>
        <w:t xml:space="preserve"> Support、Precision Components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自有高性能Star</w:t>
      </w:r>
      <w:r>
        <w:t xml:space="preserve"> </w:t>
      </w:r>
      <w:r>
        <w:rPr>
          <w:rFonts w:hint="eastAsia"/>
        </w:rPr>
        <w:t xml:space="preserve">Tracker发布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目标：降低供应链风险，提升毛利率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Neutron </w:t>
      </w:r>
      <w:r>
        <w:rPr>
          <w:rFonts w:hint="eastAsia"/>
          <w:b/>
          <w:bCs/>
        </w:rPr>
        <w:t xml:space="preserve">火箭——最大的期权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一级储箱测试破裂导致首飞推迟至Q4</w:t>
      </w:r>
      <w:r>
        <w:t xml:space="preserve"> 2026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已改用自动化纤维铺放（AFP）工艺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若成功，将打开中型发射市场，直接竞争Falcon</w:t>
      </w:r>
      <w:r>
        <w:t xml:space="preserve"> 9</w:t>
      </w:r>
    </w:p>
    <w:bookmarkEnd w:id="16"/>
    <w:bookmarkStart w:id="17" w:name="估值与分析师动态"/>
    <w:p>
      <w:pPr>
        <w:pStyle w:val="Heading3"/>
      </w:pPr>
      <w:r>
        <w:rPr>
          <w:rFonts w:hint="eastAsia"/>
        </w:rPr>
        <w:t xml:space="preserve">估值与分析师动态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Stifel</w:t>
            </w:r>
          </w:p>
        </w:tc>
        <w:tc>
          <w:tcPr/>
          <w:p>
            <w:pPr>
              <w:pStyle w:val="Compact"/>
            </w:pPr>
            <w:r>
              <w:t xml:space="preserve">Buy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从$90上调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Roth MKM</w:t>
            </w:r>
          </w:p>
        </w:tc>
        <w:tc>
          <w:tcPr/>
          <w:p>
            <w:pPr>
              <w:pStyle w:val="Compact"/>
            </w:pPr>
            <w:r>
              <w:t xml:space="preserve">Buy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共识（26位）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$87.01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过去3个月上调22.9%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当前市值$46B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TTM营收$602M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P/S约76x</w:t>
      </w:r>
      <w:r>
        <w:rPr>
          <w:rFonts w:hint="eastAsia"/>
        </w:rPr>
        <w:t xml:space="preserve">，估值极高，反映了市场对其长期太空平台叙事的溢价定价。</w:t>
      </w:r>
    </w:p>
    <w:bookmarkEnd w:id="17"/>
    <w:bookmarkStart w:id="18" w:name="基本面风险点"/>
    <w:p>
      <w:pPr>
        <w:pStyle w:val="Heading3"/>
      </w:pPr>
      <w:r>
        <w:t xml:space="preserve">⚠️ </w:t>
      </w:r>
      <w:r>
        <w:rPr>
          <w:rFonts w:hint="eastAsia"/>
        </w:rPr>
        <w:t xml:space="preserve">基本面风险点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尚未盈利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TTM净亏损-$198M，预计2027年才实现盈利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极高估值</w:t>
            </w:r>
          </w:p>
        </w:tc>
        <w:tc>
          <w:tcPr/>
          <w:p>
            <w:pPr>
              <w:pStyle w:val="Compact"/>
            </w:pPr>
            <w:r>
              <w:t xml:space="preserve">P/S </w:t>
            </w:r>
            <w:r>
              <w:rPr>
                <w:rFonts w:hint="eastAsia"/>
              </w:rPr>
              <w:t xml:space="preserve">76x，任何执行失误都可能导致剧烈回调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Neutron推迟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首飞从2026年中推迟至Q4，进一步推迟风险存在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内部人减持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近期内部人士卖出$3100万股票；Cathie</w:t>
            </w:r>
            <w:r>
              <w:t xml:space="preserve"> </w:t>
            </w:r>
            <w:r>
              <w:rPr>
                <w:rFonts w:hint="eastAsia"/>
              </w:rPr>
              <w:t xml:space="preserve">Wood/ARK持续减持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做空压力</w:t>
            </w:r>
          </w:p>
        </w:tc>
        <w:tc>
          <w:tcPr/>
          <w:p>
            <w:pPr>
              <w:pStyle w:val="Compact"/>
            </w:pPr>
            <w:r>
              <w:t xml:space="preserve">Short </w:t>
            </w:r>
            <w:r>
              <w:rPr>
                <w:rFonts w:hint="eastAsia"/>
              </w:rPr>
              <w:t xml:space="preserve">interest达3152万股（占流通5.49%），较上月激增47%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竞争风险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SpaceX在发射领域统治地位；其他小型发射商（Astra等）虽弱但存在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政府合同依赖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SDA大单占比过高，政策变化或预算削减影响大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期权投机过热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极端活跃的期权交易可能放大短期波动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9" w:name="四技术面精准分析"/>
    <w:p>
      <w:pPr>
        <w:pStyle w:val="Heading2"/>
      </w:pPr>
      <w:r>
        <w:rPr>
          <w:rFonts w:hint="eastAsia"/>
        </w:rPr>
        <w:t xml:space="preserve">四、技术面精准分析</w:t>
      </w:r>
    </w:p>
    <w:bookmarkStart w:id="20" w:name="价格走势结构"/>
    <w:p>
      <w:pPr>
        <w:pStyle w:val="Heading3"/>
      </w:pPr>
      <w:r>
        <w:rPr>
          <w:rFonts w:hint="eastAsia"/>
        </w:rPr>
        <w:t xml:space="preserve">价格走势结构</w:t>
      </w:r>
    </w:p>
    <w:p>
      <w:pPr>
        <w:pStyle w:val="FirstParagraph"/>
      </w:pPr>
      <w:r>
        <w:rPr>
          <w:rFonts w:hint="eastAsia"/>
        </w:rPr>
        <w:t xml:space="preserve">从60日K线数据看，RKLB</w:t>
      </w:r>
      <w:r>
        <w:t xml:space="preserve"> </w:t>
      </w:r>
      <w:r>
        <w:rPr>
          <w:rFonts w:hint="eastAsia"/>
        </w:rPr>
        <w:t xml:space="preserve">走出了</w:t>
      </w:r>
      <w:r>
        <w:rPr>
          <w:rFonts w:hint="eastAsia"/>
          <w:b/>
          <w:bCs/>
        </w:rPr>
        <w:t xml:space="preserve">“强势上涨→高位震荡→小幅回调”</w:t>
      </w:r>
      <w:r>
        <w:rPr>
          <w:rFonts w:hint="eastAsia"/>
        </w:rPr>
        <w:t xml:space="preserve">的结构：</w:t>
      </w:r>
    </w:p>
    <w:p>
      <w:pPr>
        <w:pStyle w:val="SourceCode"/>
      </w:pPr>
      <w:r>
        <w:rPr>
          <w:rStyle w:val="VerbatimChar"/>
          <w:rFonts w:hint="eastAsia"/>
        </w:rPr>
        <w:t xml:space="preserve">2月初:</w:t>
      </w:r>
      <w:r>
        <w:rPr>
          <w:rStyle w:val="VerbatimChar"/>
        </w:rPr>
        <w:t xml:space="preserve">  $74 ~ $81  ← </w:t>
      </w:r>
      <w:r>
        <w:rPr>
          <w:rStyle w:val="VerbatimChar"/>
          <w:rFonts w:hint="eastAsia"/>
        </w:rPr>
        <w:t xml:space="preserve">震荡整理</w:t>
      </w:r>
      <w:r>
        <w:br/>
      </w:r>
      <w:r>
        <w:rPr>
          <w:rStyle w:val="VerbatimChar"/>
          <w:rFonts w:hint="eastAsia"/>
        </w:rPr>
        <w:t xml:space="preserve">2月中:</w:t>
      </w:r>
      <w:r>
        <w:rPr>
          <w:rStyle w:val="VerbatimChar"/>
        </w:rPr>
        <w:t xml:space="preserve">  $63 ~ $75  ← </w:t>
      </w:r>
      <w:r>
        <w:rPr>
          <w:rStyle w:val="VerbatimChar"/>
          <w:rFonts w:hint="eastAsia"/>
        </w:rPr>
        <w:t xml:space="preserve">快速下探至$56附近（2月底）</w:t>
      </w:r>
      <w:r>
        <w:br/>
      </w:r>
      <w:r>
        <w:rPr>
          <w:rStyle w:val="VerbatimChar"/>
          <w:rFonts w:hint="eastAsia"/>
        </w:rPr>
        <w:t xml:space="preserve">3月:</w:t>
      </w:r>
      <w:r>
        <w:rPr>
          <w:rStyle w:val="VerbatimChar"/>
        </w:rPr>
        <w:t xml:space="preserve">    $56 ~ $72  ← </w:t>
      </w:r>
      <w:r>
        <w:rPr>
          <w:rStyle w:val="VerbatimChar"/>
          <w:rFonts w:hint="eastAsia"/>
        </w:rPr>
        <w:t xml:space="preserve">底部反弹</w:t>
      </w:r>
      <w:r>
        <w:br/>
      </w:r>
      <w:r>
        <w:rPr>
          <w:rStyle w:val="VerbatimChar"/>
          <w:rFonts w:hint="eastAsia"/>
        </w:rPr>
        <w:t xml:space="preserve">4月初:</w:t>
      </w:r>
      <w:r>
        <w:rPr>
          <w:rStyle w:val="VerbatimChar"/>
        </w:rPr>
        <w:t xml:space="preserve">  $72 ~ $82  ← </w:t>
      </w:r>
      <w:r>
        <w:rPr>
          <w:rStyle w:val="VerbatimChar"/>
          <w:rFonts w:hint="eastAsia"/>
        </w:rPr>
        <w:t xml:space="preserve">稳步攀升</w:t>
      </w:r>
      <w:r>
        <w:br/>
      </w:r>
      <w:r>
        <w:rPr>
          <w:rStyle w:val="VerbatimChar"/>
          <w:rFonts w:hint="eastAsia"/>
        </w:rPr>
        <w:t xml:space="preserve">4月中:</w:t>
      </w:r>
      <w:r>
        <w:rPr>
          <w:rStyle w:val="VerbatimChar"/>
        </w:rPr>
        <w:t xml:space="preserve">  $82 ~ $93  ← </w:t>
      </w:r>
      <w:r>
        <w:rPr>
          <w:rStyle w:val="VerbatimChar"/>
          <w:rFonts w:hint="eastAsia"/>
        </w:rPr>
        <w:t xml:space="preserve">冲高至$93.10（4/16）</w:t>
      </w:r>
      <w:r>
        <w:br/>
      </w:r>
      <w:r>
        <w:rPr>
          <w:rStyle w:val="VerbatimChar"/>
        </w:rPr>
        <w:t xml:space="preserve">4/28:   $78.59      ← </w:t>
      </w:r>
      <w:r>
        <w:rPr>
          <w:rStyle w:val="VerbatimChar"/>
          <w:rFonts w:hint="eastAsia"/>
        </w:rPr>
        <w:t xml:space="preserve">从高点回调约15%</w:t>
      </w:r>
    </w:p>
    <w:p>
      <w:pPr>
        <w:pStyle w:val="FirstParagraph"/>
      </w:pPr>
      <w:r>
        <w:rPr>
          <w:rFonts w:hint="eastAsia"/>
          <w:b/>
          <w:bCs/>
        </w:rPr>
        <w:t xml:space="preserve">近期走势</w:t>
      </w:r>
      <w:r>
        <w:rPr>
          <w:rFonts w:hint="eastAsia"/>
        </w:rPr>
        <w:t xml:space="preserve">：4月16日冲高至$93.10后连续回调，4月28日大跌4.5%收于$78.59，跌破MA5/MA10，但在MA20上方获得支撑。</w:t>
      </w:r>
    </w:p>
    <w:bookmarkEnd w:id="20"/>
    <w:bookmarkStart w:id="21" w:name="技术指标信号"/>
    <w:p>
      <w:pPr>
        <w:pStyle w:val="Heading3"/>
      </w:pPr>
      <w:r>
        <w:rPr>
          <w:rFonts w:hint="eastAsia"/>
        </w:rPr>
        <w:t xml:space="preserve">技术指标信号</w:t>
      </w:r>
    </w:p>
    <w:p>
      <w:pPr>
        <w:pStyle w:val="FirstParagraph"/>
      </w:pPr>
      <w:r>
        <w:rPr>
          <w:rFonts w:hint="eastAsia"/>
          <w:b/>
          <w:bCs/>
        </w:rPr>
        <w:t xml:space="preserve">时间范围：2026.2.2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2026.4.28（60个交易日）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数值/信号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当前价</w:t>
            </w:r>
          </w:p>
        </w:tc>
        <w:tc>
          <w:tcPr/>
          <w:p>
            <w:pPr>
              <w:pStyle w:val="Compact"/>
            </w:pPr>
            <w:r>
              <w:t xml:space="preserve">$78.59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从$93高点回调15%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60日区间</w:t>
            </w:r>
          </w:p>
        </w:tc>
        <w:tc>
          <w:tcPr/>
          <w:p>
            <w:pPr>
              <w:pStyle w:val="Compact"/>
            </w:pPr>
            <w:r>
              <w:t xml:space="preserve">$56.13 ~ $93.10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波动幅度66%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MA5</w:t>
            </w:r>
          </w:p>
        </w:tc>
        <w:tc>
          <w:tcPr/>
          <w:p>
            <w:pPr>
              <w:pStyle w:val="Compact"/>
            </w:pPr>
            <w:r>
              <w:t xml:space="preserve">$83.04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已跌破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MA20</w:t>
            </w:r>
          </w:p>
        </w:tc>
        <w:tc>
          <w:tcPr/>
          <w:p>
            <w:pPr>
              <w:pStyle w:val="Compact"/>
            </w:pPr>
            <w:r>
              <w:t xml:space="preserve">$75.54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当前支撑位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MA50</w:t>
            </w:r>
          </w:p>
        </w:tc>
        <w:tc>
          <w:tcPr/>
          <w:p>
            <w:pPr>
              <w:pStyle w:val="Compact"/>
            </w:pPr>
            <w:r>
              <w:t xml:space="preserve">$72.13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中期支撑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60日涨跌幅</w:t>
            </w:r>
          </w:p>
        </w:tc>
        <w:tc>
          <w:tcPr/>
          <w:p>
            <w:pPr>
              <w:pStyle w:val="Compact"/>
            </w:pPr>
            <w:r>
              <w:t xml:space="preserve">+6.0%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整体仍呈上升趋势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K线形态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4/28阴线跌破MA5/MA10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短期进入调整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死叉信号</w:t>
            </w:r>
          </w:p>
        </w:tc>
        <w:tc>
          <w:tcPr/>
          <w:p>
            <w:pPr>
              <w:pStyle w:val="Compact"/>
            </w:pPr>
            <w:r>
              <w:t xml:space="preserve">4/28 </w:t>
            </w:r>
            <w:r>
              <w:rPr>
                <w:rFonts w:hint="eastAsia"/>
              </w:rPr>
              <w:t xml:space="preserve">MA5跌破MA10形成死叉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短期空头信号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多头排列</w:t>
            </w:r>
          </w:p>
        </w:tc>
        <w:tc>
          <w:tcPr/>
          <w:p>
            <w:pPr>
              <w:pStyle w:val="Compact"/>
            </w:pPr>
            <w:r>
              <w:t xml:space="preserve">4/27 </w:t>
            </w:r>
            <w:r>
              <w:rPr>
                <w:rFonts w:hint="eastAsia"/>
              </w:rPr>
              <w:t xml:space="preserve">MA整体仍呈多头排列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中期趋势尚未破坏</w:t>
            </w:r>
          </w:p>
        </w:tc>
      </w:tr>
    </w:tbl>
    <w:bookmarkEnd w:id="21"/>
    <w:bookmarkStart w:id="28" w:name="关键技术位"/>
    <w:p>
      <w:pPr>
        <w:pStyle w:val="Heading3"/>
      </w:pPr>
      <w:r>
        <w:rPr>
          <w:rFonts w:hint="eastAsia"/>
        </w:rPr>
        <w:t xml:space="preserve">关键技术位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短期阻力</w:t>
            </w:r>
          </w:p>
        </w:tc>
        <w:tc>
          <w:tcPr/>
          <w:p>
            <w:pPr>
              <w:pStyle w:val="Compact"/>
            </w:pPr>
            <w:r>
              <w:t xml:space="preserve">$82-$83</w:t>
            </w:r>
          </w:p>
        </w:tc>
        <w:tc>
          <w:tcPr/>
          <w:p>
            <w:pPr>
              <w:pStyle w:val="Compact"/>
            </w:pPr>
            <w:r>
              <w:t xml:space="preserve">MA10 + </w:t>
            </w:r>
            <w:r>
              <w:rPr>
                <w:rFonts w:hint="eastAsia"/>
              </w:rPr>
              <w:t xml:space="preserve">前收盘价区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中期阻力</w:t>
            </w:r>
          </w:p>
        </w:tc>
        <w:tc>
          <w:tcPr/>
          <w:p>
            <w:pPr>
              <w:pStyle w:val="Compact"/>
            </w:pPr>
            <w:r>
              <w:t xml:space="preserve">$90-$93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前期高点密集区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强阻力</w:t>
            </w:r>
          </w:p>
        </w:tc>
        <w:tc>
          <w:tcPr/>
          <w:p>
            <w:pPr>
              <w:pStyle w:val="Compact"/>
            </w:pPr>
            <w:r>
              <w:t xml:space="preserve">$100-$105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分析师目标价区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短期支撑</w:t>
            </w:r>
          </w:p>
        </w:tc>
        <w:tc>
          <w:tcPr/>
          <w:p>
            <w:pPr>
              <w:pStyle w:val="Compact"/>
            </w:pPr>
            <w:r>
              <w:t xml:space="preserve">$75-$76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MA20附近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中期支撑</w:t>
            </w:r>
          </w:p>
        </w:tc>
        <w:tc>
          <w:tcPr/>
          <w:p>
            <w:pPr>
              <w:pStyle w:val="Compact"/>
            </w:pPr>
            <w:r>
              <w:t xml:space="preserve">$70-$72</w:t>
            </w:r>
          </w:p>
        </w:tc>
        <w:tc>
          <w:tcPr/>
          <w:p>
            <w:pPr>
              <w:pStyle w:val="Compact"/>
            </w:pPr>
            <w:r>
              <w:t xml:space="preserve">MA50 + </w:t>
            </w:r>
            <w:r>
              <w:rPr>
                <w:rFonts w:hint="eastAsia"/>
              </w:rPr>
              <w:t xml:space="preserve">前期平台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强支撑</w:t>
            </w:r>
          </w:p>
        </w:tc>
        <w:tc>
          <w:tcPr/>
          <w:p>
            <w:pPr>
              <w:pStyle w:val="Compact"/>
            </w:pPr>
            <w:r>
              <w:t xml:space="preserve">$56-$60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60日最低点</w:t>
            </w:r>
            <w:r>
              <w:t xml:space="preserve"> + </w:t>
            </w:r>
            <w:r>
              <w:rPr>
                <w:rFonts w:hint="eastAsia"/>
              </w:rPr>
              <w:t xml:space="preserve">巨量Put卖出行权价</w:t>
            </w:r>
          </w:p>
        </w:tc>
      </w:tr>
    </w:tbl>
    <w:p>
      <w:pPr>
        <w:pStyle w:val="CaptionedFigure"/>
      </w:pPr>
      <w:r>
        <w:drawing>
          <wp:inline>
            <wp:extent cx="5334000" cy="3191773"/>
            <wp:effectExtent b="0" l="0" r="0" t="0"/>
            <wp:docPr descr="价格走势图" title="" id="23" name="Picture"/>
            <a:graphic>
              <a:graphicData uri="http://schemas.openxmlformats.org/drawingml/2006/picture">
                <pic:pic>
                  <pic:nvPicPr>
                    <pic:cNvPr descr="/Users/wenjinzhou/Documents/VS%20Code%20Base/swing-trade-workflow/reports/US_RKLB_price_chart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17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价格走势图</w:t>
      </w:r>
    </w:p>
    <w:p>
      <w:pPr>
        <w:pStyle w:val="CaptionedFigure"/>
      </w:pPr>
      <w:r>
        <w:drawing>
          <wp:inline>
            <wp:extent cx="5334000" cy="3339390"/>
            <wp:effectExtent b="0" l="0" r="0" t="0"/>
            <wp:docPr descr="关键统计图" title="" id="26" name="Picture"/>
            <a:graphic>
              <a:graphicData uri="http://schemas.openxmlformats.org/drawingml/2006/picture">
                <pic:pic>
                  <pic:nvPicPr>
                    <pic:cNvPr descr="/Users/wenjinzhou/Documents/VS%20Code%20Base/swing-trade-workflow/reports/US_RKLB_stats_chart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9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关键统计图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五资金情绪共振验证"/>
    <w:p>
      <w:pPr>
        <w:pStyle w:val="Heading2"/>
      </w:pPr>
      <w:r>
        <w:rPr>
          <w:rFonts w:hint="eastAsia"/>
        </w:rPr>
        <w:t xml:space="preserve">五、资金+情绪共振验证</w:t>
      </w:r>
    </w:p>
    <w:bookmarkStart w:id="30" w:name="期权市场衍生品异动"/>
    <w:p>
      <w:pPr>
        <w:pStyle w:val="Heading3"/>
      </w:pPr>
      <w:r>
        <w:rPr>
          <w:rFonts w:hint="eastAsia"/>
        </w:rPr>
        <w:t xml:space="preserve">期权市场（衍生品异动）</w:t>
      </w:r>
    </w:p>
    <w:p>
      <w:pPr>
        <w:pStyle w:val="FirstParagraph"/>
      </w:pPr>
      <w:r>
        <w:rPr>
          <w:rFonts w:hint="eastAsia"/>
          <w:b/>
          <w:bCs/>
        </w:rPr>
        <w:t xml:space="preserve">时间范围：近30个自然日</w:t>
      </w:r>
    </w:p>
    <w:p>
      <w:pPr>
        <w:pStyle w:val="BodyText"/>
      </w:pPr>
      <w:r>
        <w:rPr>
          <w:rFonts w:hint="eastAsia"/>
        </w:rPr>
        <w:t xml:space="preserve">期权市场呈现</w:t>
      </w:r>
      <w:r>
        <w:rPr>
          <w:rFonts w:hint="eastAsia"/>
          <w:b/>
          <w:bCs/>
        </w:rPr>
        <w:t xml:space="preserve">极度活跃+复杂信号</w:t>
      </w:r>
      <w:r>
        <w:rPr>
          <w:rFonts w:hint="eastAsia"/>
        </w:rPr>
        <w:t xml:space="preserve">的格局：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关键合约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信号解读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买入看涨</w:t>
            </w:r>
            <w:r>
              <w:rPr>
                <w:b/>
                <w:bCs/>
              </w:rPr>
              <w:t xml:space="preserve"> Call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行权价$82/$85，5月初到期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短期看涨押注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买入看跌</w:t>
            </w:r>
            <w:r>
              <w:rPr>
                <w:b/>
                <w:bCs/>
              </w:rPr>
              <w:t xml:space="preserve"> Put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行权价$71/$85/$90，5月-6月到期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大量对冲/看跌押注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卖出看跌</w:t>
            </w:r>
            <w:r>
              <w:rPr>
                <w:b/>
                <w:bCs/>
              </w:rPr>
              <w:t xml:space="preserve"> Put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行权价$60/$65/$70，2026/2028到期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强烈看涨——机构愿意在更低价位接盘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卖出看涨</w:t>
            </w:r>
            <w:r>
              <w:rPr>
                <w:b/>
                <w:bCs/>
              </w:rPr>
              <w:t xml:space="preserve"> Call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行权价$85/$95，2026/2028到期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认为短期涨至此处有阻力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关键观察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4/23 </w:t>
      </w:r>
      <w:r>
        <w:rPr>
          <w:rFonts w:hint="eastAsia"/>
          <w:b/>
          <w:bCs/>
        </w:rPr>
        <w:t xml:space="preserve">买入Put大单</w:t>
      </w:r>
      <w:r>
        <w:rPr>
          <w:rFonts w:hint="eastAsia"/>
        </w:rPr>
        <w:t xml:space="preserve">：行权价$90，2000张，V/OI高达</w:t>
      </w:r>
      <w:r>
        <w:rPr>
          <w:b/>
          <w:bCs/>
        </w:rPr>
        <w:t xml:space="preserve">48.9</w:t>
      </w:r>
      <w:r>
        <w:rPr>
          <w:rFonts w:hint="eastAsia"/>
        </w:rPr>
        <w:t xml:space="preserve">，涉资$259万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4/8 </w:t>
      </w:r>
      <w:r>
        <w:rPr>
          <w:rFonts w:hint="eastAsia"/>
          <w:b/>
          <w:bCs/>
        </w:rPr>
        <w:t xml:space="preserve">卖出Call大单</w:t>
      </w:r>
      <w:r>
        <w:rPr>
          <w:rFonts w:hint="eastAsia"/>
        </w:rPr>
        <w:t xml:space="preserve">：行权价$85，</w:t>
      </w:r>
      <w:r>
        <w:rPr>
          <w:rFonts w:hint="eastAsia"/>
          <w:b/>
          <w:bCs/>
        </w:rPr>
        <w:t xml:space="preserve">21000张</w:t>
      </w:r>
      <w:r>
        <w:rPr>
          <w:rFonts w:hint="eastAsia"/>
        </w:rPr>
        <w:t xml:space="preserve">，V/OI高达</w:t>
      </w:r>
      <w:r>
        <w:rPr>
          <w:b/>
          <w:bCs/>
        </w:rPr>
        <w:t xml:space="preserve">92.9</w:t>
      </w:r>
      <w:r>
        <w:rPr>
          <w:rFonts w:hint="eastAsia"/>
        </w:rPr>
        <w:t xml:space="preserve">，涉资$5376万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4/8 </w:t>
      </w:r>
      <w:r>
        <w:rPr>
          <w:rFonts w:hint="eastAsia"/>
          <w:b/>
          <w:bCs/>
        </w:rPr>
        <w:t xml:space="preserve">卖出Put大单</w:t>
      </w:r>
      <w:r>
        <w:rPr>
          <w:rFonts w:hint="eastAsia"/>
        </w:rPr>
        <w:t xml:space="preserve">：行权价$60，21000张，涉资$4263万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4/11 </w:t>
      </w:r>
      <w:r>
        <w:rPr>
          <w:rFonts w:hint="eastAsia"/>
          <w:b/>
          <w:bCs/>
        </w:rPr>
        <w:t xml:space="preserve">卖出Put大单</w:t>
      </w:r>
      <w:r>
        <w:rPr>
          <w:rFonts w:hint="eastAsia"/>
        </w:rPr>
        <w:t xml:space="preserve">：行权价$65，17000张，涉资$3952万</w:t>
      </w:r>
    </w:p>
    <w:p>
      <w:pPr>
        <w:pStyle w:val="BodyText"/>
      </w:pPr>
      <w:r>
        <w:rPr>
          <w:rFonts w:hint="eastAsia"/>
          <w:b/>
          <w:bCs/>
        </w:rPr>
        <w:t xml:space="preserve">衍生品综合判断</w:t>
      </w:r>
      <w:r>
        <w:rPr>
          <w:rFonts w:hint="eastAsia"/>
        </w:rPr>
        <w:t xml:space="preserve">：期权市场呈现</w:t>
      </w:r>
      <w:r>
        <w:rPr>
          <w:rFonts w:hint="eastAsia"/>
          <w:b/>
          <w:bCs/>
        </w:rPr>
        <w:t xml:space="preserve">强烈分歧+高波动预期</w:t>
      </w:r>
      <w:r>
        <w:rPr>
          <w:rFonts w:hint="eastAsia"/>
        </w:rPr>
        <w:t xml:space="preserve">。巨额的Sell</w:t>
      </w:r>
      <w:r>
        <w:t xml:space="preserve"> </w:t>
      </w:r>
      <w:r>
        <w:rPr>
          <w:rFonts w:hint="eastAsia"/>
        </w:rPr>
        <w:t xml:space="preserve">Put（$60-$65）显示长期资金在下方建立安全垫；巨额Sell</w:t>
      </w:r>
      <w:r>
        <w:t xml:space="preserve"> </w:t>
      </w:r>
      <w:r>
        <w:rPr>
          <w:rFonts w:hint="eastAsia"/>
        </w:rPr>
        <w:t xml:space="preserve">Call（$85）和大量Buy</w:t>
      </w:r>
      <w:r>
        <w:t xml:space="preserve"> </w:t>
      </w:r>
      <w:r>
        <w:rPr>
          <w:rFonts w:hint="eastAsia"/>
        </w:rPr>
        <w:t xml:space="preserve">Put显示机构在押注短期震荡或回调。这是一个典型的”高波动区间交易”格局。</w:t>
      </w:r>
    </w:p>
    <w:bookmarkEnd w:id="30"/>
    <w:bookmarkStart w:id="31" w:name="新闻情绪与催化"/>
    <w:p>
      <w:pPr>
        <w:pStyle w:val="Heading3"/>
      </w:pPr>
      <w:r>
        <w:rPr>
          <w:rFonts w:hint="eastAsia"/>
        </w:rPr>
        <w:t xml:space="preserve">新闻情绪与催化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情绪方向</w:t>
            </w:r>
          </w:p>
        </w:tc>
      </w:tr>
      <w:tr>
        <w:tc>
          <w:tcPr/>
          <w:p>
            <w:pPr>
              <w:pStyle w:val="Compact"/>
            </w:pPr>
            <w:r>
              <w:t xml:space="preserve">4/28</w:t>
            </w:r>
          </w:p>
        </w:tc>
        <w:tc>
          <w:tcPr/>
          <w:p>
            <w:pPr>
              <w:pStyle w:val="Compact"/>
            </w:pPr>
            <w:r>
              <w:t xml:space="preserve">Cathie </w:t>
            </w:r>
            <w:r>
              <w:rPr>
                <w:rFonts w:hint="eastAsia"/>
              </w:rPr>
              <w:t xml:space="preserve">Wood减持RKLB，买入NTLA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负面（明星基金经理减持）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4/27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期权交易异常活跃：119K合约，928K未平仓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中性偏波动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4/22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Backlog达$1.85B，</w:t>
            </w:r>
            <w:r>
              <w:rPr>
                <w:rFonts w:hint="eastAsia"/>
              </w:rPr>
              <w:t xml:space="preserve">“发射挤压”</w:t>
            </w:r>
            <w:r>
              <w:rPr>
                <w:rFonts w:hint="eastAsia"/>
              </w:rPr>
              <w:t xml:space="preserve">动能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积极</w:t>
            </w:r>
          </w:p>
        </w:tc>
      </w:tr>
      <w:tr>
        <w:tc>
          <w:tcPr/>
          <w:p>
            <w:pPr>
              <w:pStyle w:val="Compact"/>
            </w:pPr>
            <w:r>
              <w:t xml:space="preserve">4/20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完成JAXA第二次专属发射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积极</w:t>
            </w:r>
          </w:p>
        </w:tc>
      </w:tr>
      <w:tr>
        <w:tc>
          <w:tcPr/>
          <w:p>
            <w:pPr>
              <w:pStyle w:val="Compact"/>
            </w:pPr>
            <w:r>
              <w:t xml:space="preserve">4/17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发布高性能Star</w:t>
            </w:r>
            <w:r>
              <w:t xml:space="preserve"> Tracker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积极</w:t>
            </w:r>
          </w:p>
        </w:tc>
      </w:tr>
      <w:tr>
        <w:tc>
          <w:tcPr/>
          <w:p>
            <w:pPr>
              <w:pStyle w:val="Compact"/>
            </w:pPr>
            <w:r>
              <w:t xml:space="preserve">4/16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insiders卖出$3100万股票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负面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Stifel上调目标价至$105；Roth</w:t>
            </w:r>
            <w:r>
              <w:t xml:space="preserve"> </w:t>
            </w:r>
            <w:r>
              <w:rPr>
                <w:rFonts w:hint="eastAsia"/>
              </w:rPr>
              <w:t xml:space="preserve">MKM上调至$100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积极</w:t>
            </w:r>
          </w:p>
        </w:tc>
      </w:tr>
    </w:tbl>
    <w:bookmarkEnd w:id="31"/>
    <w:bookmarkStart w:id="32" w:name="社区情绪"/>
    <w:p>
      <w:pPr>
        <w:pStyle w:val="Heading3"/>
      </w:pPr>
      <w:r>
        <w:rPr>
          <w:rFonts w:hint="eastAsia"/>
        </w:rPr>
        <w:t xml:space="preserve">社区情绪</w:t>
      </w:r>
    </w:p>
    <w:p>
      <w:pPr>
        <w:pStyle w:val="FirstParagraph"/>
      </w:pPr>
      <w:r>
        <w:rPr>
          <w:rFonts w:hint="eastAsia"/>
        </w:rPr>
        <w:t xml:space="preserve">从富途及市场讨论看，RKLB近期关注度极高：</w:t>
      </w:r>
      <w:r>
        <w:t xml:space="preserve"> </w:t>
      </w:r>
      <w:r>
        <w:t xml:space="preserve">- </w:t>
      </w:r>
      <w:r>
        <w:rPr>
          <w:rFonts w:hint="eastAsia"/>
        </w:rPr>
        <w:t xml:space="preserve">看好派：聚焦$1.85B</w:t>
      </w:r>
      <w:r>
        <w:t xml:space="preserve"> </w:t>
      </w:r>
      <w:r>
        <w:rPr>
          <w:rFonts w:hint="eastAsia"/>
        </w:rPr>
        <w:t xml:space="preserve">backlog、SDA大单、Neutron长期潜力</w:t>
      </w:r>
      <w:r>
        <w:t xml:space="preserve"> </w:t>
      </w:r>
      <w:r>
        <w:t xml:space="preserve">- </w:t>
      </w:r>
      <w:r>
        <w:rPr>
          <w:rFonts w:hint="eastAsia"/>
        </w:rPr>
        <w:t xml:space="preserve">谨慎派：担忧$46B市值</w:t>
      </w:r>
      <w:r>
        <w:t xml:space="preserve"> vs </w:t>
      </w:r>
      <w:r>
        <w:rPr>
          <w:rFonts w:hint="eastAsia"/>
        </w:rPr>
        <w:t xml:space="preserve">$602M营收的估值泡沫、内部人减持、Neutron推迟</w:t>
      </w:r>
      <w:r>
        <w:t xml:space="preserve"> </w:t>
      </w:r>
      <w:r>
        <w:t xml:space="preserve">- </w:t>
      </w:r>
      <w:r>
        <w:rPr>
          <w:rFonts w:hint="eastAsia"/>
        </w:rPr>
        <w:t xml:space="preserve">做空力量：short</w:t>
      </w:r>
      <w:r>
        <w:t xml:space="preserve"> </w:t>
      </w:r>
      <w:r>
        <w:rPr>
          <w:rFonts w:hint="eastAsia"/>
        </w:rPr>
        <w:t xml:space="preserve">interest较上月激增47%，做空与多头博弈激烈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六交易计划建议"/>
    <w:p>
      <w:pPr>
        <w:pStyle w:val="Heading2"/>
      </w:pPr>
      <w:r>
        <w:rPr>
          <w:rFonts w:hint="eastAsia"/>
        </w:rPr>
        <w:t xml:space="preserve">六、交易计划建议</w:t>
      </w:r>
    </w:p>
    <w:bookmarkStart w:id="34" w:name="当前状态评估"/>
    <w:p>
      <w:pPr>
        <w:pStyle w:val="Heading3"/>
      </w:pPr>
      <w:r>
        <w:rPr>
          <w:rFonts w:hint="eastAsia"/>
        </w:rPr>
        <w:t xml:space="preserve">当前状态评估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基本面</w:t>
            </w:r>
          </w:p>
        </w:tc>
        <w:tc>
          <w:tcPr/>
          <w:p>
            <w:pPr>
              <w:pStyle w:val="Compact"/>
            </w:pPr>
            <w:r>
              <w:t xml:space="preserve">⭐⭐⭐⭐☆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成长性极强，backlog创历史新高，但尚未盈利且估值极高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技术面</w:t>
            </w:r>
          </w:p>
        </w:tc>
        <w:tc>
          <w:tcPr/>
          <w:p>
            <w:pPr>
              <w:pStyle w:val="Compact"/>
            </w:pPr>
            <w:r>
              <w:t xml:space="preserve">⭐⭐⭐☆☆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中期趋势向上，但短期跌破MA5/MA10形成死叉，进入调整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资金面</w:t>
            </w:r>
          </w:p>
        </w:tc>
        <w:tc>
          <w:tcPr/>
          <w:p>
            <w:pPr>
              <w:pStyle w:val="Compact"/>
            </w:pPr>
            <w:r>
              <w:t xml:space="preserve">⭐⭐⭐☆☆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期权市场极度活跃，多空分歧巨大；内部人减持+做空增加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情绪面</w:t>
            </w:r>
          </w:p>
        </w:tc>
        <w:tc>
          <w:tcPr/>
          <w:p>
            <w:pPr>
              <w:pStyle w:val="Compact"/>
            </w:pPr>
            <w:r>
              <w:t xml:space="preserve">⭐⭐⭐☆☆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机构上调目标价</w:t>
            </w:r>
            <w:r>
              <w:t xml:space="preserve"> vs </w:t>
            </w:r>
            <w:r>
              <w:rPr>
                <w:rFonts w:hint="eastAsia"/>
              </w:rPr>
              <w:t xml:space="preserve">明星基金减持，情绪分化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共振度</w:t>
            </w:r>
          </w:p>
        </w:tc>
        <w:tc>
          <w:tcPr/>
          <w:p>
            <w:pPr>
              <w:pStyle w:val="Compact"/>
            </w:pPr>
            <w:r>
              <w:t xml:space="preserve">⭐⭐⭐☆☆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基本面长期向好但短期技术面恶化+估值过高，适合回调布局</w:t>
            </w:r>
          </w:p>
        </w:tc>
      </w:tr>
    </w:tbl>
    <w:bookmarkEnd w:id="34"/>
    <w:bookmarkStart w:id="35" w:name="核心判断"/>
    <w:p>
      <w:pPr>
        <w:pStyle w:val="Heading3"/>
      </w:pPr>
      <w:r>
        <w:rPr>
          <w:rFonts w:hint="eastAsia"/>
        </w:rPr>
        <w:t xml:space="preserve">核心判断</w:t>
      </w:r>
    </w:p>
    <w:p>
      <w:pPr>
        <w:pStyle w:val="BlockText"/>
      </w:pPr>
      <w:r>
        <w:rPr>
          <w:b/>
          <w:bCs/>
        </w:rPr>
        <w:t xml:space="preserve">RKLB </w:t>
      </w:r>
      <w:r>
        <w:rPr>
          <w:rFonts w:hint="eastAsia"/>
          <w:b/>
          <w:bCs/>
        </w:rPr>
        <w:t xml:space="preserve">是太空经济最纯正的成长标的之一，$1.85B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backlog和SDA大单提供了坚实的基本面支撑。但$46B市值对应$602M营收（P/S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76x）的估值意味着股价已经price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in了大量乐观预期。短期从$93回调15%至$78，建议在关键支撑位附近分批建仓，博弈反弹至$90-$100区间。</w:t>
      </w:r>
    </w:p>
    <w:bookmarkEnd w:id="35"/>
    <w:bookmarkStart w:id="36" w:name="方案a回调买入推荐"/>
    <w:p>
      <w:pPr>
        <w:pStyle w:val="Heading3"/>
      </w:pPr>
      <w:r>
        <w:rPr>
          <w:rFonts w:hint="eastAsia"/>
        </w:rPr>
        <w:t xml:space="preserve">方案A：回调买入（推荐）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买入触发区</w:t>
            </w:r>
          </w:p>
        </w:tc>
        <w:tc>
          <w:tcPr/>
          <w:p>
            <w:pPr>
              <w:pStyle w:val="Compact"/>
            </w:pPr>
            <w:r>
              <w:t xml:space="preserve">$72 ~ </w:t>
            </w:r>
            <w:r>
              <w:rPr>
                <w:rFonts w:hint="eastAsia"/>
              </w:rPr>
              <w:t xml:space="preserve">$78（MA20/MA50支撑区</w:t>
            </w:r>
            <w:r>
              <w:t xml:space="preserve"> + </w:t>
            </w:r>
            <w:r>
              <w:rPr>
                <w:rFonts w:hint="eastAsia"/>
              </w:rPr>
              <w:t xml:space="preserve">当前价附近）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买入方式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分批建仓（$78买1/3，$75买1/3，$72买1/3）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止损位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$68（跌破MA50且无法收复）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第一目标位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$90（前期高点区）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第二目标位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$100-$105（分析师目标价区）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持仓周期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4-8周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仓位建议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轻-正常仓位（3-5%账户资金），因估值高风险大</w:t>
            </w:r>
          </w:p>
        </w:tc>
      </w:tr>
    </w:tbl>
    <w:bookmarkEnd w:id="36"/>
    <w:bookmarkStart w:id="37" w:name="方案b突破追买激进"/>
    <w:p>
      <w:pPr>
        <w:pStyle w:val="Heading3"/>
      </w:pPr>
      <w:r>
        <w:rPr>
          <w:rFonts w:hint="eastAsia"/>
        </w:rPr>
        <w:t xml:space="preserve">方案B：突破追买（激进）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买入触发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若股价在$78上方整理3-5天后放量突破$85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止损位</w:t>
            </w:r>
          </w:p>
        </w:tc>
        <w:tc>
          <w:tcPr/>
          <w:p>
            <w:pPr>
              <w:pStyle w:val="Compact"/>
            </w:pPr>
            <w:r>
              <w:t xml:space="preserve">$75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目标位</w:t>
            </w:r>
          </w:p>
        </w:tc>
        <w:tc>
          <w:tcPr/>
          <w:p>
            <w:pPr>
              <w:pStyle w:val="Compact"/>
            </w:pPr>
            <w:r>
              <w:t xml:space="preserve">$95-$100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仓位建议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极轻仓位（2-3%账户资金）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追高风险极大，上方有巨额Sell</w:t>
            </w:r>
            <w:r>
              <w:t xml:space="preserve"> </w:t>
            </w:r>
            <w:r>
              <w:rPr>
                <w:rFonts w:hint="eastAsia"/>
              </w:rPr>
              <w:t xml:space="preserve">Call压力</w:t>
            </w:r>
          </w:p>
        </w:tc>
      </w:tr>
    </w:tbl>
    <w:bookmarkEnd w:id="37"/>
    <w:bookmarkStart w:id="38" w:name="关键观察清单买入前必须确认"/>
    <w:p>
      <w:pPr>
        <w:pStyle w:val="Heading3"/>
      </w:pPr>
      <w:r>
        <w:rPr>
          <w:rFonts w:hint="eastAsia"/>
        </w:rPr>
        <w:t xml:space="preserve">关键观察清单（买入前必须确认）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股价是否在$72-$76支撑区企稳（MA20/MA50）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成交量是否在下跌过程中萎缩</w:t>
      </w:r>
    </w:p>
    <w:p>
      <w:pPr>
        <w:pStyle w:val="Compact"/>
        <w:numPr>
          <w:ilvl w:val="0"/>
          <w:numId w:val="1010"/>
        </w:numPr>
      </w:pPr>
      <w:r>
        <w:t xml:space="preserve">5/7 Q1 </w:t>
      </w:r>
      <w:r>
        <w:rPr>
          <w:rFonts w:hint="eastAsia"/>
        </w:rPr>
        <w:t xml:space="preserve">2026财报预期（共识EPS</w:t>
      </w:r>
      <w:r>
        <w:t xml:space="preserve"> </w:t>
      </w:r>
      <w:r>
        <w:rPr>
          <w:rFonts w:hint="eastAsia"/>
        </w:rPr>
        <w:t xml:space="preserve">-$0.08，营收$194.7M）</w:t>
      </w:r>
    </w:p>
    <w:p>
      <w:pPr>
        <w:pStyle w:val="Compact"/>
        <w:numPr>
          <w:ilvl w:val="0"/>
          <w:numId w:val="1011"/>
        </w:numPr>
      </w:pPr>
      <w:r>
        <w:t xml:space="preserve">Short </w:t>
      </w:r>
      <w:r>
        <w:rPr>
          <w:rFonts w:hint="eastAsia"/>
        </w:rPr>
        <w:t xml:space="preserve">interest是否停止激增</w:t>
      </w:r>
    </w:p>
    <w:p>
      <w:pPr>
        <w:pStyle w:val="Compact"/>
        <w:numPr>
          <w:ilvl w:val="0"/>
          <w:numId w:val="1012"/>
        </w:numPr>
      </w:pPr>
      <w:r>
        <w:t xml:space="preserve">Cathie </w:t>
      </w:r>
      <w:r>
        <w:rPr>
          <w:rFonts w:hint="eastAsia"/>
        </w:rPr>
        <w:t xml:space="preserve">Wood/ARK是否停止减持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Neutron项目是否有进一步推迟消息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七持仓跟踪与风控"/>
    <w:p>
      <w:pPr>
        <w:pStyle w:val="Heading2"/>
      </w:pPr>
      <w:r>
        <w:rPr>
          <w:rFonts w:hint="eastAsia"/>
        </w:rPr>
        <w:t xml:space="preserve">七、持仓跟踪与风控</w:t>
      </w:r>
    </w:p>
    <w:bookmarkStart w:id="40" w:name="如果已持仓"/>
    <w:p>
      <w:pPr>
        <w:pStyle w:val="Heading3"/>
      </w:pPr>
      <w:r>
        <w:rPr>
          <w:rFonts w:hint="eastAsia"/>
        </w:rPr>
        <w:t xml:space="preserve">如果已持仓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9"/>
        <w:gridCol w:w="2299"/>
        <w:gridCol w:w="332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跟踪维度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减仓/退出信号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技术面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20日/50日均线、成交量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放量跌破$68；MA20下穿MA50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基本面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季度营收、backlog、毛利率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Q1营收&lt;$180M；backlog增长停滞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资金面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期权Put/Call比、short</w:t>
            </w:r>
            <w:r>
              <w:t xml:space="preserve"> interest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Put买入激增；short</w:t>
            </w:r>
            <w:r>
              <w:t xml:space="preserve"> </w:t>
            </w:r>
            <w:r>
              <w:rPr>
                <w:rFonts w:hint="eastAsia"/>
              </w:rPr>
              <w:t xml:space="preserve">interest突破10%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情绪面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新闻热度、分析师调级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目标价集体下调；出现”卖出”评级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宏观面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太空预算、SDA拨款、Neutron进度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SDA预算削减；Neutron再次推迟</w:t>
            </w:r>
          </w:p>
        </w:tc>
      </w:tr>
    </w:tbl>
    <w:bookmarkEnd w:id="40"/>
    <w:bookmarkStart w:id="41" w:name="具体退出触发器"/>
    <w:p>
      <w:pPr>
        <w:pStyle w:val="Heading3"/>
      </w:pPr>
      <w:r>
        <w:rPr>
          <w:rFonts w:hint="eastAsia"/>
        </w:rPr>
        <w:t xml:space="preserve">具体退出触发器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跌破$68且3日内无法收复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减仓50%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跌破$60（强支撑+大量Put行权价）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Q1财报营收&lt;$180M或EPS远低于-$0.08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减仓或清仓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Neutron再次推迟至2027年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减仓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short </w:t>
            </w:r>
            <w:r>
              <w:rPr>
                <w:rFonts w:hint="eastAsia"/>
              </w:rPr>
              <w:t xml:space="preserve">interest突破10%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达到$95-$100目标区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分批止盈（1/3、1/2、剩余设移动止损）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5" w:name="八综合结论"/>
    <w:p>
      <w:pPr>
        <w:pStyle w:val="Heading2"/>
      </w:pPr>
      <w:r>
        <w:rPr>
          <w:rFonts w:hint="eastAsia"/>
        </w:rPr>
        <w:t xml:space="preserve">八、综合结论</w:t>
      </w:r>
    </w:p>
    <w:bookmarkStart w:id="43" w:name="对于拐点超级成长共振风格的匹配度"/>
    <w:p>
      <w:pPr>
        <w:pStyle w:val="Heading3"/>
      </w:pPr>
      <w:r>
        <w:rPr>
          <w:rFonts w:hint="eastAsia"/>
        </w:rPr>
        <w:t xml:space="preserve">对于”拐点/超级成长/共振”风格的匹配度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RKLB </w:t>
      </w:r>
      <w:r>
        <w:rPr>
          <w:rFonts w:hint="eastAsia"/>
          <w:b/>
          <w:bCs/>
        </w:rPr>
        <w:t xml:space="preserve">是一个典型的”超级成长+政策驱动”标的</w:t>
      </w:r>
      <w:r>
        <w:rPr>
          <w:rFonts w:hint="eastAsia"/>
        </w:rPr>
        <w:t xml:space="preserve">，$1.85B</w:t>
      </w:r>
      <w:r>
        <w:t xml:space="preserve"> </w:t>
      </w:r>
      <w:r>
        <w:rPr>
          <w:rFonts w:hint="eastAsia"/>
        </w:rPr>
        <w:t xml:space="preserve">backlog和SDA大单提供了罕见的收入可见性，太空系统业务正在将其从”发射公司”重塑为”太空平台”。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但当前估值已经反映了太多乐观预期</w:t>
      </w:r>
      <w:r>
        <w:t xml:space="preserve">——P/S </w:t>
      </w:r>
      <w:r>
        <w:rPr>
          <w:rFonts w:hint="eastAsia"/>
        </w:rPr>
        <w:t xml:space="preserve">76x、$46B市值意味着任何执行失误都可能引发20%+的回调。从$93回调至$78仅是开始，还是提供了买入机会？取决于对风险承受能力的判断。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最佳策略</w:t>
      </w:r>
      <w:r>
        <w:rPr>
          <w:rFonts w:hint="eastAsia"/>
        </w:rPr>
        <w:t xml:space="preserve">：放入</w:t>
      </w:r>
      <w:r>
        <w:rPr>
          <w:rFonts w:hint="eastAsia"/>
          <w:b/>
          <w:bCs/>
        </w:rPr>
        <w:t xml:space="preserve">观察清单</w:t>
      </w:r>
      <w:r>
        <w:rPr>
          <w:rFonts w:hint="eastAsia"/>
        </w:rPr>
        <w:t xml:space="preserve">，在$72-$78区间分批低吸，严格止损$68。如果股价能在此处缩量企稳并重新站上MA5，则是</w:t>
      </w:r>
      <w:r>
        <w:t xml:space="preserve"> safer </w:t>
      </w:r>
      <w:r>
        <w:rPr>
          <w:rFonts w:hint="eastAsia"/>
        </w:rPr>
        <w:t xml:space="preserve">的上车信号。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如果急于参与</w:t>
      </w:r>
      <w:r>
        <w:rPr>
          <w:rFonts w:hint="eastAsia"/>
        </w:rPr>
        <w:t xml:space="preserve">：只能用极轻仓位（2-3%）在当前价位试探，因为短期技术面偏弱（MA5死叉MA10）、做空压力增加、内部人减持。</w:t>
      </w:r>
    </w:p>
    <w:bookmarkEnd w:id="43"/>
    <w:bookmarkStart w:id="44" w:name="一句话总结"/>
    <w:p>
      <w:pPr>
        <w:pStyle w:val="Heading3"/>
      </w:pPr>
      <w:r>
        <w:rPr>
          <w:rFonts w:hint="eastAsia"/>
        </w:rPr>
        <w:t xml:space="preserve">一句话总结</w:t>
      </w:r>
    </w:p>
    <w:p>
      <w:pPr>
        <w:pStyle w:val="BlockText"/>
      </w:pPr>
      <w:r>
        <w:t xml:space="preserve">RKLB </w:t>
      </w:r>
      <w:r>
        <w:rPr>
          <w:rFonts w:hint="eastAsia"/>
        </w:rPr>
        <w:t xml:space="preserve">的”端到端太空平台”叙事正在从愿景走向兑现，$1.85B</w:t>
      </w:r>
      <w:r>
        <w:t xml:space="preserve"> backlog </w:t>
      </w:r>
      <w:r>
        <w:rPr>
          <w:rFonts w:hint="eastAsia"/>
        </w:rPr>
        <w:t xml:space="preserve">和</w:t>
      </w:r>
      <w:r>
        <w:t xml:space="preserve"> SDA </w:t>
      </w:r>
      <w:r>
        <w:rPr>
          <w:rFonts w:hint="eastAsia"/>
        </w:rPr>
        <w:t xml:space="preserve">大单提供了坚实的基本面底座，但$46B市值对应76x</w:t>
      </w:r>
      <w:r>
        <w:t xml:space="preserve"> </w:t>
      </w:r>
      <w:r>
        <w:rPr>
          <w:rFonts w:hint="eastAsia"/>
        </w:rPr>
        <w:t xml:space="preserve">P/S的估值意味着容错率极低。建议在$72-$78支撑区分批布局，目标看$95-$105，止损$68，仓位控制在5%以内以应对高波动。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本报告基于公开信息整理，不构成投资建议。市场有风险，交易需谨慎。</w:t>
      </w:r>
    </w:p>
    <w:p>
      <w:pPr>
        <w:pStyle w:val="BodyText"/>
      </w:pPr>
      <w:r>
        <w:rPr>
          <w:i/>
          <w:iCs/>
        </w:rPr>
        <w:t xml:space="preserve">Generated by Swing Trade Research Workflow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2026-04-29T07:51:36Z</dcterms:created>
  <dcterms:modified xsi:type="dcterms:W3CDTF">2026-04-29T07:51:36Z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