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line="240" w:lineRule="auto" w:before="0" w:after="0"/>
        <w:ind w:left="0"/>
        <w:jc w:val="center"/>
      </w:pPr>
      <w:r>
        <w:rPr>
          <w:rFonts w:eastAsia="宋体" w:ascii="宋体" w:hAnsi="宋体" w:cs="宋体"/>
          <w:b w:val="true"/>
          <w:i w:val="false"/>
          <w:sz w:val="48"/>
        </w:rPr>
        <w:t>AI行业深度研究报告</w:t>
      </w:r>
    </w:p>
    <w:p>
      <w:pPr>
        <w:pStyle w:val="EM_H1_STYLE"/>
        <w:spacing w:line="240" w:lineRule="auto" w:before="600" w:after="120"/>
        <w:ind w:left="0"/>
        <w:jc w:val="left"/>
      </w:pPr>
      <w:r>
        <w:rPr>
          <w:rFonts w:eastAsia="宋体" w:ascii="宋体" w:hAnsi="宋体" w:cs="宋体"/>
          <w:b w:val="true"/>
          <w:i w:val="false"/>
          <w:sz w:val="36"/>
        </w:rPr>
        <w:t>数据图表</w:t>
      </w:r>
    </w:p>
    <w:p>
      <w:pPr>
        <w:spacing w:line="240" w:lineRule="auto" w:before="120" w:after="120"/>
        <w:ind w:firstLine="0"/>
        <w:jc w:val="left"/>
      </w:pPr>
    </w:p>
    <w:p>
      <w:pPr>
        <w:pStyle w:val="EM_H1_STYLE"/>
        <w:spacing w:line="240" w:lineRule="auto" w:before="600" w:after="120"/>
        <w:ind w:left="0"/>
        <w:jc w:val="left"/>
      </w:pPr>
      <w:r>
        <w:rPr>
          <w:rFonts w:eastAsia="宋体" w:ascii="宋体" w:hAnsi="宋体" w:cs="宋体"/>
          <w:b w:val="true"/>
          <w:i w:val="false"/>
          <w:sz w:val="36"/>
        </w:rPr>
        <w:t>1. AI行业发展趋势</w:t>
      </w:r>
    </w:p>
    <w:p>
      <w:pPr>
        <w:pStyle w:val="EM_H2_STYLE"/>
        <w:spacing w:line="240" w:lineRule="auto" w:before="120" w:after="120"/>
        <w:ind w:left="0"/>
        <w:jc w:val="left"/>
      </w:pPr>
      <w:r>
        <w:rPr>
          <w:rFonts w:eastAsia="宋体" w:ascii="宋体" w:hAnsi="宋体" w:cs="宋体"/>
          <w:b w:val="true"/>
          <w:i w:val="false"/>
          <w:sz w:val="28"/>
        </w:rPr>
        <w:t>1.1 AI作为默认组件的普及化</w:t>
      </w:r>
    </w:p>
    <w:p>
      <w:pPr>
        <w:spacing w:line="240" w:lineRule="auto" w:before="120" w:after="120"/>
        <w:ind w:left="0"/>
        <w:jc w:val="left"/>
      </w:pPr>
      <w:r>
        <w:rPr>
          <w:rFonts w:eastAsia="宋体" w:ascii="宋体" w:hAnsi="宋体" w:cs="宋体"/>
          <w:b w:val="true"/>
          <w:i w:val="false"/>
          <w:sz w:val="24"/>
        </w:rPr>
        <w:t>1.1 AI作为默认组件的普及化</w:t>
      </w:r>
    </w:p>
    <w:p>
      <w:pPr>
        <w:spacing w:line="240" w:lineRule="auto" w:before="120" w:after="120"/>
        <w:ind w:firstLine="0"/>
        <w:jc w:val="left"/>
      </w:pPr>
      <w:r>
        <w:rPr>
          <w:rFonts w:eastAsia="宋体" w:ascii="Times New Roman" w:hAnsi="Times New Roman" w:cs="Times New Roman"/>
          <w:b w:val="false"/>
          <w:i w:val="false"/>
          <w:sz w:val="22"/>
        </w:rPr>
        <w:t>当前，人工智能技术已从需要主动推广的新兴工具，全面渗透为工作环境中的默认组件。企业推广重心正从“让人使用AI”转向“让AI深度融入业务流程”，标志着AI应用进入规模化深化阶段。</w:t>
      </w:r>
    </w:p>
    <w:p>
      <w:pPr>
        <w:spacing w:line="240" w:lineRule="auto" w:before="120" w:after="120"/>
        <w:ind w:left="0"/>
        <w:jc w:val="left"/>
      </w:pPr>
      <w:r>
        <w:rPr>
          <w:rFonts w:eastAsia="宋体" w:ascii="宋体" w:hAnsi="宋体" w:cs="宋体"/>
          <w:b w:val="true"/>
          <w:i w:val="false"/>
          <w:sz w:val="24"/>
        </w:rPr>
        <w:t>技术定位转型：从工具到基础设施</w:t>
      </w:r>
    </w:p>
    <w:p>
      <w:pPr>
        <w:spacing w:line="240" w:lineRule="auto" w:before="120" w:after="120"/>
        <w:ind w:firstLine="0"/>
        <w:jc w:val="left"/>
      </w:pPr>
      <w:r>
        <w:rPr>
          <w:rFonts w:eastAsia="宋体" w:ascii="Times New Roman" w:hAnsi="Times New Roman" w:cs="Times New Roman"/>
          <w:b w:val="false"/>
          <w:i w:val="false"/>
          <w:sz w:val="22"/>
        </w:rPr>
        <w:t>AI正从单一功能工具升级为全场景赋能平台。以DeepSeek-V4为代表的一站式智能模型，通过标准化API接口打破场景局限，实现“一款模型覆盖全行业”，无论是大型企业的复杂需求还是中小企业的办公场景，均可通过低成本接入获得精准赋能</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。DMXAPI等聚合平台进一步降低技术落地门槛，推动AI成为企业数字化底座的标准配置</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。云计算作为智能化升级的基石，实现算力与AI模型的动态协同，支撑业务全流程改造</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企业应用深化：从试点到核心业务</w:t>
      </w:r>
    </w:p>
    <w:p>
      <w:pPr>
        <w:spacing w:line="240" w:lineRule="auto" w:before="120" w:after="120"/>
        <w:ind w:firstLine="0"/>
        <w:jc w:val="left"/>
      </w:pPr>
      <w:r>
        <w:rPr>
          <w:rFonts w:eastAsia="宋体" w:ascii="Times New Roman" w:hAnsi="Times New Roman" w:cs="Times New Roman"/>
          <w:b w:val="false"/>
          <w:i w:val="false"/>
          <w:sz w:val="22"/>
        </w:rPr>
        <w:t>全球AI产业正经历从“技术震撼”向“商业价值”的关键转型。据《AI初创企业价值创造白皮书（2025）》统计，生成式AI渗透率已达90%，但仅约三分之一企业成功将AI从试点推向全业务规模化应用</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。头部企业率先突破：软通动力2025年AI营收占比达52.6%，通过全栈适配DeepSeek-V4构建“算力基建+MaaS服务+智能体应用”的闭环体系</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；欧莱雅、资生堂等国际品牌将AI深度嵌入研发端，利用计算化学加速配方开发，缩短产品上市周期</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行业渗透现状：差异化普及率</w:t>
      </w:r>
    </w:p>
    <w:p>
      <w:pPr>
        <w:spacing w:line="240" w:lineRule="auto" w:before="120" w:after="120"/>
        <w:ind w:firstLine="0"/>
        <w:jc w:val="left"/>
      </w:pPr>
      <w:r>
        <w:rPr>
          <w:rFonts w:eastAsia="宋体" w:ascii="Times New Roman" w:hAnsi="Times New Roman" w:cs="Times New Roman"/>
          <w:b w:val="false"/>
          <w:i w:val="false"/>
          <w:sz w:val="22"/>
        </w:rPr>
        <w:t>中国AI普及率呈现显著行业差异：</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true"/>
                <w:i w:val="false"/>
                <w:sz w:val="22"/>
              </w:rPr>
              <w:t>领域</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普及特征</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代表案例</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true"/>
                <w:i w:val="false"/>
                <w:sz w:val="22"/>
              </w:rPr>
              <w:t>美妆业</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AI驱动研发效率跃升</w:t>
            </w:r>
          </w:p>
        </w:tc>
        <w:tc>
          <w:tcPr>
            <w:tcW w:type="dxa" w:w="4080"/>
            <w:vAlign w:val="center"/>
          </w:tcPr>
          <w:p>
            <w:r>
              <w:rPr>
                <w:rFonts w:eastAsia="宋体" w:ascii="Times New Roman" w:hAnsi="Times New Roman" w:cs="Times New Roman"/>
                <w:b w:val="false"/>
                <w:i w:val="false"/>
                <w:sz w:val="22"/>
              </w:rPr>
              <w:t>资生堂“Voyager”平台开发防晒喷雾（2026年上市）</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true"/>
                <w:i w:val="false"/>
                <w:sz w:val="22"/>
              </w:rPr>
              <w:t>制造业</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业务全流程智能化改造加速</w:t>
            </w:r>
          </w:p>
        </w:tc>
        <w:tc>
          <w:tcPr>
            <w:tcW w:type="dxa" w:w="4080"/>
            <w:vAlign w:val="center"/>
          </w:tcPr>
          <w:p>
            <w:r>
              <w:rPr>
                <w:rFonts w:eastAsia="宋体" w:ascii="Times New Roman" w:hAnsi="Times New Roman" w:cs="Times New Roman"/>
                <w:b w:val="false"/>
                <w:i w:val="false"/>
                <w:sz w:val="22"/>
              </w:rPr>
              <w:t>“云+AI”实现生产效率系统性提升</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true"/>
                <w:i w:val="false"/>
                <w:sz w:val="22"/>
              </w:rPr>
              <w:t>金融业</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基础设施规模化落地</w:t>
            </w:r>
          </w:p>
        </w:tc>
        <w:tc>
          <w:tcPr>
            <w:tcW w:type="dxa" w:w="4080"/>
            <w:vAlign w:val="center"/>
          </w:tcPr>
          <w:p>
            <w:r>
              <w:rPr>
                <w:rFonts w:eastAsia="宋体" w:ascii="Times New Roman" w:hAnsi="Times New Roman" w:cs="Times New Roman"/>
                <w:b w:val="false"/>
                <w:i w:val="false"/>
                <w:sz w:val="22"/>
              </w:rPr>
              <w:t>银行业IT解决方案市场规模达713.1亿（2024年）</w:t>
            </w:r>
            <w:r>
              <w:rPr>
                <w:rFonts w:eastAsia="宋体" w:ascii="Times New Roman" w:hAnsi="Times New Roman" w:cs="Times New Roman"/>
                <w:b w:val="false"/>
                <w:i w:val="false"/>
                <w:sz w:val="22"/>
                <w:vertAlign w:val="superscript"/>
              </w:rPr>
              <w:t>[6]</w:t>
            </w:r>
          </w:p>
        </w:tc>
      </w:tr>
    </w:tbl>
    <w:p>
      <w:pPr>
        <w:spacing w:line="240" w:lineRule="auto" w:before="120" w:after="120"/>
        <w:ind w:firstLine="0"/>
        <w:jc w:val="left"/>
      </w:pPr>
      <w:r>
        <w:rPr>
          <w:rFonts w:eastAsia="宋体" w:ascii="Times New Roman" w:hAnsi="Times New Roman" w:cs="Times New Roman"/>
          <w:b w:val="false"/>
          <w:i w:val="false"/>
          <w:sz w:val="22"/>
        </w:rPr>
        <w:t>然而，中国整体AI普及率（41%）仍落后于德国、美国等发达国家，且企业内部AI人才培养机制存在短板——仅30%中国企业建立内训体系，低于全球均值（45%），兼具技术与业务能力的“AI转译员”缺口尤为突出</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商业价值重构：从成本中心到盈利引擎</w:t>
      </w:r>
    </w:p>
    <w:p>
      <w:pPr>
        <w:spacing w:line="240" w:lineRule="auto" w:before="120" w:after="120"/>
        <w:ind w:firstLine="0"/>
        <w:jc w:val="left"/>
      </w:pPr>
      <w:r>
        <w:rPr>
          <w:rFonts w:eastAsia="宋体" w:ascii="Times New Roman" w:hAnsi="Times New Roman" w:cs="Times New Roman"/>
          <w:b w:val="false"/>
          <w:i w:val="false"/>
          <w:sz w:val="22"/>
        </w:rPr>
        <w:t>AI的默认化正重构商业模式：</w:t>
      </w:r>
    </w:p>
    <w:p>
      <w:pPr>
        <w:numPr>
          <w:ilvl w:val="0"/>
          <w:numId w:val="1"/>
        </w:numPr>
        <w:spacing w:line="240" w:lineRule="auto" w:before="120" w:after="120"/>
        <w:jc w:val="left"/>
      </w:pPr>
      <w:r>
        <w:rPr>
          <w:rFonts w:eastAsia="宋体" w:ascii="Times New Roman" w:hAnsi="Times New Roman" w:cs="Times New Roman"/>
          <w:b w:val="true"/>
          <w:i w:val="false"/>
          <w:sz w:val="22"/>
        </w:rPr>
        <w:t>技术层</w:t>
      </w:r>
      <w:r>
        <w:rPr>
          <w:rFonts w:eastAsia="宋体" w:ascii="Times New Roman" w:hAnsi="Times New Roman" w:cs="Times New Roman"/>
          <w:b w:val="false"/>
          <w:i w:val="false"/>
          <w:sz w:val="22"/>
        </w:rPr>
        <w:t xml:space="preserve">：基础模型（如DeepSeek-V4）成为工作流基础设施，2026年全球AI编程市场规模预计达128亿美元，CAGR（2024-2030）为24.5% </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生态层</w:t>
      </w:r>
      <w:r>
        <w:rPr>
          <w:rFonts w:eastAsia="宋体" w:ascii="Times New Roman" w:hAnsi="Times New Roman" w:cs="Times New Roman"/>
          <w:b w:val="false"/>
          <w:i w:val="false"/>
          <w:sz w:val="22"/>
        </w:rPr>
        <w:t>：产业竞争从模型性能转向词元经济生态，迅策科技等数据基础设施商通过提供高精度行业数据集，帮助通用大模型降低无效算力消耗，提升单词元商业价值</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1.2 从人用AI到AI驱动工作流的演进</w:t>
      </w:r>
    </w:p>
    <w:p>
      <w:pPr>
        <w:spacing w:line="240" w:lineRule="auto" w:before="120" w:after="120"/>
        <w:ind w:left="0"/>
        <w:jc w:val="left"/>
      </w:pPr>
      <w:r>
        <w:rPr>
          <w:rFonts w:eastAsia="宋体" w:ascii="宋体" w:hAnsi="宋体" w:cs="宋体"/>
          <w:b w:val="true"/>
          <w:i w:val="false"/>
          <w:sz w:val="24"/>
        </w:rPr>
        <w:t>1.2 从人用AI到AI驱动工作流的演进</w:t>
      </w:r>
    </w:p>
    <w:p>
      <w:pPr>
        <w:spacing w:line="240" w:lineRule="auto" w:before="120" w:after="120"/>
        <w:ind w:firstLine="0"/>
        <w:jc w:val="left"/>
      </w:pPr>
      <w:r>
        <w:rPr>
          <w:rFonts w:eastAsia="宋体" w:ascii="Times New Roman" w:hAnsi="Times New Roman" w:cs="Times New Roman"/>
          <w:b w:val="false"/>
          <w:i w:val="false"/>
          <w:sz w:val="22"/>
        </w:rPr>
        <w:t>当前AI技术正经历从被动辅助工具向工作流主导引擎的根本性转变。这一演进的核心特征在于：人类角色从直接操作者逐步转化为流程审核者与策略制定者，而AI逐步承担标准化、重复性任务的执行与决策优化。</w:t>
      </w:r>
    </w:p>
    <w:p>
      <w:pPr>
        <w:spacing w:line="240" w:lineRule="auto" w:before="120" w:after="120"/>
        <w:ind w:left="0"/>
        <w:jc w:val="left"/>
      </w:pPr>
      <w:r>
        <w:rPr>
          <w:rFonts w:eastAsia="宋体" w:ascii="宋体" w:hAnsi="宋体" w:cs="宋体"/>
          <w:b w:val="true"/>
          <w:i w:val="false"/>
          <w:sz w:val="24"/>
        </w:rPr>
        <w:t>（1）工作流主导模式的三大阶段</w:t>
      </w:r>
    </w:p>
    <w:p>
      <w:pPr>
        <w:spacing w:line="240" w:lineRule="auto" w:before="120" w:after="120"/>
        <w:ind w:firstLine="0"/>
        <w:jc w:val="left"/>
      </w:pPr>
      <w:r>
        <w:rPr>
          <w:rFonts w:eastAsia="宋体" w:ascii="Times New Roman" w:hAnsi="Times New Roman" w:cs="Times New Roman"/>
          <w:b w:val="false"/>
          <w:i w:val="false"/>
          <w:sz w:val="22"/>
        </w:rPr>
        <w:t>根据快递行业的实践总结，AI驱动工作流的演进可分为三阶段：</w:t>
      </w:r>
    </w:p>
    <w:p>
      <w:pPr>
        <w:numPr>
          <w:ilvl w:val="0"/>
          <w:numId w:val="1"/>
        </w:numPr>
        <w:spacing w:line="240" w:lineRule="auto" w:before="120" w:after="120"/>
        <w:jc w:val="left"/>
      </w:pPr>
      <w:r>
        <w:rPr>
          <w:rFonts w:eastAsia="宋体" w:ascii="Times New Roman" w:hAnsi="Times New Roman" w:cs="Times New Roman"/>
          <w:b w:val="true"/>
          <w:i w:val="false"/>
          <w:sz w:val="22"/>
        </w:rPr>
        <w:t>搜索阶段</w:t>
      </w:r>
      <w:r>
        <w:rPr>
          <w:rFonts w:eastAsia="宋体" w:ascii="Times New Roman" w:hAnsi="Times New Roman" w:cs="Times New Roman"/>
          <w:b w:val="false"/>
          <w:i w:val="false"/>
          <w:sz w:val="22"/>
        </w:rPr>
        <w:t>：AI通过底层数据处理提供信息答案，辅助人类决策；</w:t>
      </w:r>
    </w:p>
    <w:p>
      <w:pPr>
        <w:numPr>
          <w:ilvl w:val="0"/>
          <w:numId w:val="1"/>
        </w:numPr>
        <w:spacing w:line="240" w:lineRule="auto" w:before="120" w:after="120"/>
        <w:jc w:val="left"/>
      </w:pPr>
      <w:r>
        <w:rPr>
          <w:rFonts w:eastAsia="宋体" w:ascii="Times New Roman" w:hAnsi="Times New Roman" w:cs="Times New Roman"/>
          <w:b w:val="true"/>
          <w:i w:val="false"/>
          <w:sz w:val="22"/>
        </w:rPr>
        <w:t>智能助理阶段</w:t>
      </w:r>
      <w:r>
        <w:rPr>
          <w:rFonts w:eastAsia="宋体" w:ascii="Times New Roman" w:hAnsi="Times New Roman" w:cs="Times New Roman"/>
          <w:b w:val="false"/>
          <w:i w:val="false"/>
          <w:sz w:val="22"/>
        </w:rPr>
        <w:t>：AI独立完成推荐引导，实现局部效率提升；</w:t>
      </w:r>
    </w:p>
    <w:p>
      <w:pPr>
        <w:numPr>
          <w:ilvl w:val="0"/>
          <w:numId w:val="1"/>
        </w:numPr>
        <w:spacing w:line="240" w:lineRule="auto" w:before="120" w:after="120"/>
        <w:jc w:val="left"/>
      </w:pPr>
      <w:r>
        <w:rPr>
          <w:rFonts w:eastAsia="宋体" w:ascii="Times New Roman" w:hAnsi="Times New Roman" w:cs="Times New Roman"/>
          <w:b w:val="true"/>
          <w:i w:val="false"/>
          <w:sz w:val="22"/>
        </w:rPr>
        <w:t>数字人阶段</w:t>
      </w:r>
      <w:r>
        <w:rPr>
          <w:rFonts w:eastAsia="宋体" w:ascii="Times New Roman" w:hAnsi="Times New Roman" w:cs="Times New Roman"/>
          <w:b w:val="false"/>
          <w:i w:val="false"/>
          <w:sz w:val="22"/>
        </w:rPr>
        <w:t>：AI主导重复性工作，精准执行全流程任务，显著降本增效</w:t>
      </w:r>
      <w:r>
        <w:rPr>
          <w:rFonts w:eastAsia="宋体" w:ascii="Times New Roman" w:hAnsi="Times New Roman" w:cs="Times New Roman"/>
          <w:b w:val="false"/>
          <w:i w:val="false"/>
          <w:sz w:val="22"/>
          <w:vertAlign w:val="superscript"/>
        </w:rPr>
        <w:t>[10]</w:t>
      </w:r>
      <w:r>
        <w:rPr>
          <w:rFonts w:eastAsia="宋体" w:ascii="Times New Roman" w:hAnsi="Times New Roman" w:cs="Times New Roman"/>
          <w:b w:val="false"/>
          <w:i w:val="false"/>
          <w:sz w:val="22"/>
        </w:rPr>
        <w:t>。以申通快递为例，其通过构建“AI+快递”场景，推动劳动密集型网络向智能型网络转型，2025年AI已处理85%的司机服务案件及55%的失物认领案件</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（2）行业实践：全流程重构与角色迁移</w:t>
      </w:r>
    </w:p>
    <w:p>
      <w:pPr>
        <w:spacing w:line="240" w:lineRule="auto" w:before="120" w:after="120"/>
        <w:ind w:firstLine="0"/>
        <w:jc w:val="left"/>
      </w:pPr>
      <w:r>
        <w:rPr>
          <w:rFonts w:eastAsia="宋体" w:ascii="Times New Roman" w:hAnsi="Times New Roman" w:cs="Times New Roman"/>
          <w:b w:val="false"/>
          <w:i w:val="false"/>
          <w:sz w:val="22"/>
        </w:rPr>
        <w:t>在出行领域，T3出行开发37名AI数字员工，覆盖客户服务、订单管理、司机招募等环节。2025年其AI系统自动处理140万通招募电话，并将服务响应速度提升至秒级，推动企业从“人力依赖”转向“算法驱动”模式</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在职场场景，脉脉报告显示超六成职场人使用AI制作PPT，其中互联网与AI行业使用频次最高；七成受访者认为AI工具已成求职必备技能，但近半数反馈因效率提升导致工作要求提高，凸显“操作者→审核者”的角色迁移</w:t>
      </w:r>
      <w:r>
        <w:rPr>
          <w:rFonts w:eastAsia="宋体" w:ascii="Times New Roman" w:hAnsi="Times New Roman" w:cs="Times New Roman"/>
          <w:b w:val="false"/>
          <w:i w:val="false"/>
          <w:sz w:val="22"/>
          <w:vertAlign w:val="superscript"/>
        </w:rPr>
        <w:t>[12]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（3）技术底层：从单点工具到工作流引擎</w:t>
      </w:r>
    </w:p>
    <w:p>
      <w:pPr>
        <w:spacing w:line="240" w:lineRule="auto" w:before="120" w:after="120"/>
        <w:ind w:firstLine="0"/>
        <w:jc w:val="left"/>
      </w:pPr>
      <w:r>
        <w:rPr>
          <w:rFonts w:eastAsia="宋体" w:ascii="Times New Roman" w:hAnsi="Times New Roman" w:cs="Times New Roman"/>
          <w:b w:val="false"/>
          <w:i w:val="false"/>
          <w:sz w:val="22"/>
        </w:rPr>
        <w:t>硅谷企业近期频繁限制AI工具流量（如Anthropic调整Claude访问策略），反映行业正从“烧钱换增长”转向“效率优先”</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rPr>
        <w:t>。深层原因在于AI技术栈的升级：</w:t>
      </w:r>
    </w:p>
    <w:p>
      <w:pPr>
        <w:numPr>
          <w:ilvl w:val="0"/>
          <w:numId w:val="1"/>
        </w:numPr>
        <w:spacing w:line="240" w:lineRule="auto" w:before="120" w:after="120"/>
        <w:jc w:val="left"/>
      </w:pPr>
      <w:r>
        <w:rPr>
          <w:rFonts w:eastAsia="宋体" w:ascii="Times New Roman" w:hAnsi="Times New Roman" w:cs="Times New Roman"/>
          <w:b w:val="true"/>
          <w:i w:val="false"/>
          <w:sz w:val="22"/>
        </w:rPr>
        <w:t>智能体（Agent）技术成熟</w:t>
      </w:r>
      <w:r>
        <w:rPr>
          <w:rFonts w:eastAsia="宋体" w:ascii="Times New Roman" w:hAnsi="Times New Roman" w:cs="Times New Roman"/>
          <w:b w:val="false"/>
          <w:i w:val="false"/>
          <w:sz w:val="22"/>
        </w:rPr>
        <w:t>：AI从执行单任务转向自主拆解复杂流程。例如游戏开发领域，AI编程工具使工程师从“码字工”升级为“团队指挥官”，开发周期从天级缩短至小时级</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端到端流程闭环</w:t>
      </w:r>
      <w:r>
        <w:rPr>
          <w:rFonts w:eastAsia="宋体" w:ascii="Times New Roman" w:hAnsi="Times New Roman" w:cs="Times New Roman"/>
          <w:b w:val="false"/>
          <w:i w:val="false"/>
          <w:sz w:val="22"/>
        </w:rPr>
        <w:t>：如禾蛙平台通过AI重构招聘流程，发单速度从5小时压缩至15秒，匹配准确率提升5倍，实现全链条自动化</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（4）产业影响：决策岗位价值凸显</w:t>
      </w:r>
    </w:p>
    <w:p>
      <w:pPr>
        <w:spacing w:line="240" w:lineRule="auto" w:before="120" w:after="120"/>
        <w:ind w:firstLine="0"/>
        <w:jc w:val="left"/>
      </w:pPr>
      <w:r>
        <w:rPr>
          <w:rFonts w:eastAsia="宋体" w:ascii="Times New Roman" w:hAnsi="Times New Roman" w:cs="Times New Roman"/>
          <w:b w:val="false"/>
          <w:i w:val="false"/>
          <w:sz w:val="22"/>
        </w:rPr>
        <w:t>随着AI承担执行层工作，“策略审核”类岗位重要性显著上升：</w:t>
      </w:r>
    </w:p>
    <w:p>
      <w:pPr>
        <w:numPr>
          <w:ilvl w:val="0"/>
          <w:numId w:val="1"/>
        </w:numPr>
        <w:spacing w:line="240" w:lineRule="auto" w:before="120" w:after="120"/>
        <w:jc w:val="left"/>
      </w:pPr>
      <w:r>
        <w:rPr>
          <w:rFonts w:eastAsia="宋体" w:ascii="Times New Roman" w:hAnsi="Times New Roman" w:cs="Times New Roman"/>
          <w:b w:val="false"/>
          <w:i w:val="false"/>
          <w:sz w:val="22"/>
        </w:rPr>
        <w:t>游戏行业中原画师、动画师等角色逐步转向“AI提示词设计师”与“细节精修师”，聚焦创意把控而非基础制作</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false"/>
          <w:i w:val="false"/>
          <w:sz w:val="22"/>
        </w:rPr>
        <w:t>金融、医疗等高合规要求领域，人类专家角色转向风险复核与伦理审查，确保AI决策符合监管框架</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这一转变标志着人机协作进入新范式：AI成为工作流的核心驱动引擎，而人类专注于高阶决策与价值创造，推动产业效率进入指数级增长通道。</w:t>
      </w:r>
    </w:p>
    <w:p>
      <w:pPr>
        <w:pStyle w:val="EM_H2_STYLE"/>
        <w:spacing w:line="240" w:lineRule="auto" w:before="120" w:after="120"/>
        <w:ind w:left="0"/>
        <w:jc w:val="left"/>
      </w:pPr>
      <w:r>
        <w:rPr>
          <w:rFonts w:eastAsia="宋体" w:ascii="宋体" w:hAnsi="宋体" w:cs="宋体"/>
          <w:b w:val="true"/>
          <w:i w:val="false"/>
          <w:sz w:val="28"/>
        </w:rPr>
        <w:t>1.3 算力与能源成为核心竞争壁垒</w:t>
      </w:r>
    </w:p>
    <w:p>
      <w:pPr>
        <w:spacing w:line="240" w:lineRule="auto" w:before="120" w:after="120"/>
        <w:ind w:firstLine="0"/>
        <w:jc w:val="left"/>
      </w:pPr>
      <w:r>
        <w:rPr>
          <w:rFonts w:eastAsia="宋体" w:ascii="Times New Roman" w:hAnsi="Times New Roman" w:cs="Times New Roman"/>
          <w:b w:val="false"/>
          <w:i w:val="false"/>
          <w:sz w:val="22"/>
        </w:rPr>
        <w:t>随着人工智能技术的快速发展，算力与能源需求正成为行业竞争的核心壁垒。AI模型训练与推理的指数级增长，导致数据中心电力消耗急剧攀升。埃隆·马斯克在2026年达沃斯论坛上指出，当前AI发展的核心限制已非芯片算力，而是能源供给；全球电力年增长率仅为3%-4%，远低于AI芯片产能的指数级扩张，凸显出能源短缺的严峻挑战</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全球超大规模数据中心电力需求呈指数级增长，为支持大模型训练对算力、存储和网络的极端需求，亚马逊、谷歌、微软等科技巨头运营的数据中心电力需求已逼近部分发达国家的全国水平，电力交付节奏与算力扩张速度的严重错配迫使企业转向自建电厂解决方案</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GPU容量与硬件基础设施正迎来爆发式增长。华为昇腾超节点全系列产品已支持DeepSeek-V4系列模型，实现低至10ms的推理时延，同时昇腾950超节点批量上市推动硬件成本下降；沐曦、寒武纪等国产芯片厂商加速适配大模型，表明AI算力底座正朝多样化路径发展，硬件密度与功率承载能力持续提升</w:t>
      </w:r>
      <w:r>
        <w:rPr>
          <w:rFonts w:eastAsia="宋体" w:ascii="Times New Roman" w:hAnsi="Times New Roman" w:cs="Times New Roman"/>
          <w:b w:val="false"/>
          <w:i w:val="false"/>
          <w:sz w:val="22"/>
          <w:vertAlign w:val="superscript"/>
        </w:rPr>
        <w:t>[19]</w:t>
      </w:r>
      <w:r>
        <w:rPr>
          <w:rFonts w:eastAsia="宋体" w:ascii="Times New Roman" w:hAnsi="Times New Roman" w:cs="Times New Roman"/>
          <w:b w:val="false"/>
          <w:i w:val="false"/>
          <w:sz w:val="22"/>
        </w:rPr>
        <w:t>。AI数据中心机柜功率密度飙升，传统低压供电方案已达物理极限，800V高压直流（HVDC）架构成为下一代AI数据中心的必然选择，该方案通过减少转换级数并提升配电电压，显著提高端到端效率与功率密度，完美匹配AI集群规模化扩张需求</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未来AI竞争焦点已从模型能力转向物理层基础设施。上海交大安泰《2026年“人工智能+”行业发展蓝皮书》明确提出，AI竞争焦点正从模型比拼转向全栈系统工程能力，能源成为重要物理约束；企业需在算力基建、液冷技术及分布式供电方案上构建壁垒</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天然气发电因规模、稳定性与部署速度优势成为主流选择，截至2025年底，全球燃气轮机订单总量达110GW，但制造能力仅能支撑60-70GW，供应缺口持续放大，海外三大燃机制造商排单至2030年后，推动分布式电厂成为AI时代新基建</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rPr>
        <w:t>。AI与能源深度融合成必然趋势，朗新科技等企业聚焦“AI+能源”战略，以自研大模型赋能电力市场化交易与新能源开发，直接作用于能源价值链核心环节</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高效能电源技术与材料创新加速落地。800V HVDC架构规模化验证提速，碳化硅（SiC）器件因高耐压、低损耗与强热管理能力成为关键组件，其热导率约为硅的三倍，能显著降低配电损耗并提升系统可靠性</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rPr>
        <w:t>。企业正通过优化能源结构应对算力成本压力，例如软通动力深度绑定华为昇腾生态，打造“昇腾芯片—华方服务器—AI平台”全栈闭环，以算力基建深化降低运营成本</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2. AI商业模式演化</w:t>
      </w:r>
    </w:p>
    <w:p>
      <w:pPr>
        <w:pStyle w:val="EM_H2_STYLE"/>
        <w:spacing w:line="240" w:lineRule="auto" w:before="120" w:after="120"/>
        <w:ind w:left="0"/>
        <w:jc w:val="left"/>
      </w:pPr>
      <w:r>
        <w:rPr>
          <w:rFonts w:eastAsia="宋体" w:ascii="宋体" w:hAnsi="宋体" w:cs="宋体"/>
          <w:b w:val="true"/>
          <w:i w:val="false"/>
          <w:sz w:val="28"/>
        </w:rPr>
        <w:t>2.1 基础模型成为AI工作流基础设施</w:t>
      </w:r>
    </w:p>
    <w:p>
      <w:pPr>
        <w:spacing w:line="240" w:lineRule="auto" w:before="120" w:after="120"/>
        <w:ind w:firstLine="0"/>
        <w:jc w:val="left"/>
      </w:pPr>
      <w:r>
        <w:rPr>
          <w:rFonts w:eastAsia="宋体" w:ascii="Times New Roman" w:hAnsi="Times New Roman" w:cs="Times New Roman"/>
          <w:b w:val="false"/>
          <w:i w:val="false"/>
          <w:sz w:val="22"/>
        </w:rPr>
        <w:t>以下是根据要求撰写的报告章节正文：</w:t>
      </w:r>
    </w:p>
    <w:p>
      <w:pPr>
        <w:spacing w:line="240" w:lineRule="auto" w:before="120" w:after="120"/>
        <w:ind w:firstLine="0"/>
        <w:jc w:val="left"/>
      </w:pPr>
      <w:r>
        <w:rPr>
          <w:rFonts w:eastAsia="宋体" w:ascii="Times New Roman" w:hAnsi="Times New Roman" w:cs="Times New Roman"/>
          <w:b w:val="false"/>
          <w:i w:val="false"/>
          <w:sz w:val="22"/>
        </w:rPr>
        <w:t>在AI商业模式加速重构的进程中，基础模型厂商正经历从技术提供方到核心基础设施运营商的战略升级。随着企业级AI应用从实验性部署转向生产系统深度集成，基础模型凭借其标准化、可扩展性及工作流嵌入能力，逐步成为企业智能化转型的底层支撑。这一转型的核心驱动力在于：智能体（Agent）工作流的大规模落地推动AI推理服务演变为高频、刚需的公用事业，形成高客户粘性与长期商业锁定效应</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2.1.1 智能体工作流驱动基础设施化</w:t>
      </w:r>
    </w:p>
    <w:p>
      <w:pPr>
        <w:spacing w:line="240" w:lineRule="auto" w:before="120" w:after="120"/>
        <w:ind w:firstLine="0"/>
        <w:jc w:val="left"/>
      </w:pPr>
      <w:r>
        <w:rPr>
          <w:rFonts w:eastAsia="宋体" w:ascii="Times New Roman" w:hAnsi="Times New Roman" w:cs="Times New Roman"/>
          <w:b w:val="false"/>
          <w:i w:val="false"/>
          <w:sz w:val="22"/>
        </w:rPr>
        <w:t>企业AI应用正从对话式交互（Chatbot）向执行型智能体（Agent）跃迁。OpenClaw等框架的普及显著降低了工作流自动化门槛，使AI能力深度融入业务核心环节。据Omdia调研，36%的企业已在客户服务、软件开发等关键流程中部署智能体平台，实现任务自主接管与闭环执行</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在此趋势下，基础模型不再仅是生成文本或代码的工具，而是承担起调度外部系统、调用API、管理多模态数据的“操作系统”角色。例如月之暗面推出的KimiClaw通过零代码配置实现企业工作流无缝接入，将技术门槛从需专业开发的Node.js环境降至可视化操作</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2.1.2 API经济重塑商业模式</w:t>
      </w:r>
    </w:p>
    <w:p>
      <w:pPr>
        <w:spacing w:line="240" w:lineRule="auto" w:before="120" w:after="120"/>
        <w:ind w:firstLine="0"/>
        <w:jc w:val="left"/>
      </w:pPr>
      <w:r>
        <w:rPr>
          <w:rFonts w:eastAsia="宋体" w:ascii="Times New Roman" w:hAnsi="Times New Roman" w:cs="Times New Roman"/>
          <w:b w:val="false"/>
          <w:i w:val="false"/>
          <w:sz w:val="22"/>
        </w:rPr>
        <w:t>Token付费模式正成为基础模型厂商的核心增长引擎。以范式智能（PhantomAI）为例，其构建的Phanthy万神殿平台整合模型资源与算力管理能力，通过标准化API接口提供按调用量计费的服务。2025年该公司API业务收入达0.80亿元，同比增长129.2%；2026年第一季度Token收入已超过2025年全年总和</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。该模式的核心优势在于：</w:t>
      </w:r>
    </w:p>
    <w:p>
      <w:pPr>
        <w:numPr>
          <w:ilvl w:val="0"/>
          <w:numId w:val="1"/>
        </w:numPr>
        <w:spacing w:line="240" w:lineRule="auto" w:before="120" w:after="120"/>
        <w:jc w:val="left"/>
      </w:pPr>
      <w:r>
        <w:rPr>
          <w:rFonts w:eastAsia="宋体" w:ascii="Times New Roman" w:hAnsi="Times New Roman" w:cs="Times New Roman"/>
          <w:b w:val="true"/>
          <w:i w:val="false"/>
          <w:sz w:val="22"/>
        </w:rPr>
        <w:t>动态扩展性</w:t>
      </w:r>
      <w:r>
        <w:rPr>
          <w:rFonts w:eastAsia="宋体" w:ascii="Times New Roman" w:hAnsi="Times New Roman" w:cs="Times New Roman"/>
          <w:b w:val="false"/>
          <w:i w:val="false"/>
          <w:sz w:val="22"/>
        </w:rPr>
        <w:t>：企业按实际需求采购Token，避免算力闲置成本；</w:t>
      </w:r>
    </w:p>
    <w:p>
      <w:pPr>
        <w:numPr>
          <w:ilvl w:val="0"/>
          <w:numId w:val="1"/>
        </w:numPr>
        <w:spacing w:line="240" w:lineRule="auto" w:before="120" w:after="120"/>
        <w:jc w:val="left"/>
      </w:pPr>
      <w:r>
        <w:rPr>
          <w:rFonts w:eastAsia="宋体" w:ascii="Times New Roman" w:hAnsi="Times New Roman" w:cs="Times New Roman"/>
          <w:b w:val="true"/>
          <w:i w:val="false"/>
          <w:sz w:val="22"/>
        </w:rPr>
        <w:t>生态协同性</w:t>
      </w:r>
      <w:r>
        <w:rPr>
          <w:rFonts w:eastAsia="宋体" w:ascii="Times New Roman" w:hAnsi="Times New Roman" w:cs="Times New Roman"/>
          <w:b w:val="false"/>
          <w:i w:val="false"/>
          <w:sz w:val="22"/>
        </w:rPr>
        <w:t>：通过PhanRouter网关兼容OpenAI接口标准，支持数十家主流模型调用，实现国产算力适配</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安全可控性</w:t>
      </w:r>
      <w:r>
        <w:rPr>
          <w:rFonts w:eastAsia="宋体" w:ascii="Times New Roman" w:hAnsi="Times New Roman" w:cs="Times New Roman"/>
          <w:b w:val="false"/>
          <w:i w:val="false"/>
          <w:sz w:val="22"/>
        </w:rPr>
        <w:t>：PhanClaw模块提供全生命周期权限审计，满足金融、政务等高合规场景需求</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范式智能API业务增长指标</w:t>
            </w:r>
          </w:p>
        </w:tc>
        <w:tc>
          <w:tcPr>
            <w:tcW w:type="dxa" w:w="4080"/>
            <w:vAlign w:val="center"/>
          </w:tcPr>
          <w:p>
            <w:r>
              <w:rPr>
                <w:rFonts w:eastAsia="宋体" w:ascii="Times New Roman" w:hAnsi="Times New Roman" w:cs="Times New Roman"/>
                <w:b w:val="false"/>
                <w:i w:val="false"/>
                <w:sz w:val="22"/>
              </w:rPr>
              <w:t>2025年</w:t>
            </w:r>
          </w:p>
        </w:tc>
        <w:tc>
          <w:tcPr>
            <w:tcW w:type="dxa" w:w="4080"/>
            <w:vAlign w:val="center"/>
          </w:tcPr>
          <w:p>
            <w:r>
              <w:rPr>
                <w:rFonts w:eastAsia="宋体" w:ascii="Times New Roman" w:hAnsi="Times New Roman" w:cs="Times New Roman"/>
                <w:b w:val="false"/>
                <w:i w:val="false"/>
                <w:sz w:val="22"/>
              </w:rPr>
              <w:t>2026Q1</w:t>
            </w:r>
          </w:p>
        </w:tc>
      </w:tr>
      <w:tr>
        <w:tc>
          <w:tcPr>
            <w:tcW w:type="dxa" w:w="4080"/>
            <w:vAlign w:val="center"/>
          </w:tcPr>
          <w:p>
            <w:r>
              <w:rPr>
                <w:rFonts w:eastAsia="宋体" w:ascii="Times New Roman" w:hAnsi="Times New Roman" w:cs="Times New Roman"/>
                <w:b w:val="false"/>
                <w:i w:val="false"/>
                <w:sz w:val="22"/>
              </w:rPr>
              <w:t>收入规模（亿元）</w:t>
            </w:r>
          </w:p>
        </w:tc>
        <w:tc>
          <w:tcPr>
            <w:tcW w:type="dxa" w:w="4080"/>
            <w:vAlign w:val="center"/>
          </w:tcPr>
          <w:p>
            <w:r>
              <w:rPr>
                <w:rFonts w:eastAsia="宋体" w:ascii="Times New Roman" w:hAnsi="Times New Roman" w:cs="Times New Roman"/>
                <w:b w:val="false"/>
                <w:i w:val="false"/>
                <w:sz w:val="22"/>
              </w:rPr>
              <w:t>0.80</w:t>
            </w:r>
          </w:p>
        </w:tc>
        <w:tc>
          <w:tcPr>
            <w:tcW w:type="dxa" w:w="4080"/>
            <w:vAlign w:val="center"/>
          </w:tcPr>
          <w:p>
            <w:r>
              <w:rPr>
                <w:rFonts w:eastAsia="宋体" w:ascii="Times New Roman" w:hAnsi="Times New Roman" w:cs="Times New Roman"/>
                <w:b w:val="false"/>
                <w:i w:val="false"/>
                <w:sz w:val="22"/>
              </w:rPr>
              <w:t>&gt;0.80</w:t>
            </w:r>
          </w:p>
        </w:tc>
      </w:tr>
      <w:tr>
        <w:tc>
          <w:tcPr>
            <w:tcW w:type="dxa" w:w="4080"/>
            <w:vAlign w:val="center"/>
          </w:tcPr>
          <w:p>
            <w:r>
              <w:rPr>
                <w:rFonts w:eastAsia="宋体" w:ascii="Times New Roman" w:hAnsi="Times New Roman" w:cs="Times New Roman"/>
                <w:b w:val="false"/>
                <w:i w:val="false"/>
                <w:sz w:val="22"/>
              </w:rPr>
              <w:t>同比增长率</w:t>
            </w:r>
          </w:p>
        </w:tc>
        <w:tc>
          <w:tcPr>
            <w:tcW w:type="dxa" w:w="4080"/>
            <w:vAlign w:val="center"/>
          </w:tcPr>
          <w:p>
            <w:r>
              <w:rPr>
                <w:rFonts w:eastAsia="宋体" w:ascii="Times New Roman" w:hAnsi="Times New Roman" w:cs="Times New Roman"/>
                <w:b w:val="false"/>
                <w:i w:val="false"/>
                <w:sz w:val="22"/>
              </w:rPr>
              <w:t>129.2%</w:t>
            </w:r>
          </w:p>
        </w:tc>
        <w:tc>
          <w:tcPr>
            <w:tcW w:type="dxa" w:w="4080"/>
            <w:vAlign w:val="center"/>
          </w:tcPr>
          <w:p>
            <w:r>
              <w:rPr>
                <w:rFonts w:eastAsia="宋体" w:ascii="Times New Roman" w:hAnsi="Times New Roman" w:cs="Times New Roman"/>
                <w:b w:val="false"/>
                <w:i w:val="false"/>
                <w:sz w:val="22"/>
              </w:rPr>
              <w:t>超同期总量</w:t>
            </w:r>
          </w:p>
        </w:tc>
      </w:tr>
    </w:tbl>
    <w:p>
      <w:pPr>
        <w:spacing w:line="240" w:lineRule="auto" w:before="120" w:after="120"/>
        <w:ind w:firstLine="0"/>
        <w:jc w:val="left"/>
      </w:pPr>
      <w:r>
        <w:rPr>
          <w:rFonts w:eastAsia="宋体" w:ascii="Times New Roman" w:hAnsi="Times New Roman" w:cs="Times New Roman"/>
          <w:b w:val="false"/>
          <w:i w:val="false"/>
          <w:sz w:val="22"/>
        </w:rPr>
        <w:t>表格数据来源：中信建投证券研究报告《AI平台快速增长，API付费商业模式转型》</w:t>
      </w:r>
      <w:r>
        <w:rPr>
          <w:rFonts w:eastAsia="宋体" w:ascii="Times New Roman" w:hAnsi="Times New Roman" w:cs="Times New Roman"/>
          <w:b w:val="false"/>
          <w:i w:val="false"/>
          <w:sz w:val="22"/>
          <w:vertAlign w:val="superscript"/>
        </w:rPr>
        <w:t>[25]</w:t>
      </w:r>
    </w:p>
    <w:p>
      <w:pPr>
        <w:spacing w:line="240" w:lineRule="auto" w:before="120" w:after="120"/>
        <w:ind w:left="0"/>
        <w:jc w:val="left"/>
      </w:pPr>
      <w:r>
        <w:rPr>
          <w:rFonts w:eastAsia="宋体" w:ascii="宋体" w:hAnsi="宋体" w:cs="宋体"/>
          <w:b w:val="true"/>
          <w:i w:val="false"/>
          <w:sz w:val="24"/>
        </w:rPr>
        <w:t>2.1.3 竞争壁垒从模型向系统迁移</w:t>
      </w:r>
    </w:p>
    <w:p>
      <w:pPr>
        <w:spacing w:line="240" w:lineRule="auto" w:before="120" w:after="120"/>
        <w:ind w:firstLine="0"/>
        <w:jc w:val="left"/>
      </w:pPr>
      <w:r>
        <w:rPr>
          <w:rFonts w:eastAsia="宋体" w:ascii="Times New Roman" w:hAnsi="Times New Roman" w:cs="Times New Roman"/>
          <w:b w:val="false"/>
          <w:i w:val="false"/>
          <w:sz w:val="22"/>
        </w:rPr>
        <w:t>行业竞争焦点正从单一模型性能转向“算力-数据-工作流”系统化能力。瑞泊研究指出，2026年AI产业已进入“系统竞赛”阶段，企业需构建模型、流程与治理协同的可持续生产系统</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。这一趋势强化了头部厂商的防御力：</w:t>
      </w:r>
    </w:p>
    <w:p>
      <w:pPr>
        <w:numPr>
          <w:ilvl w:val="0"/>
          <w:numId w:val="1"/>
        </w:numPr>
        <w:spacing w:line="240" w:lineRule="auto" w:before="120" w:after="120"/>
        <w:jc w:val="left"/>
      </w:pPr>
      <w:r>
        <w:rPr>
          <w:rFonts w:eastAsia="宋体" w:ascii="Times New Roman" w:hAnsi="Times New Roman" w:cs="Times New Roman"/>
          <w:b w:val="true"/>
          <w:i w:val="false"/>
          <w:sz w:val="22"/>
        </w:rPr>
        <w:t>算力绑定效应</w:t>
      </w:r>
      <w:r>
        <w:rPr>
          <w:rFonts w:eastAsia="宋体" w:ascii="Times New Roman" w:hAnsi="Times New Roman" w:cs="Times New Roman"/>
          <w:b w:val="false"/>
          <w:i w:val="false"/>
          <w:sz w:val="22"/>
        </w:rPr>
        <w:t>：智能体工作流日均高频调用推高推理成本，企业迁移面临算力重调度与业务流程重构风险</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数据飞轮壁垒</w:t>
      </w:r>
      <w:r>
        <w:rPr>
          <w:rFonts w:eastAsia="宋体" w:ascii="Times New Roman" w:hAnsi="Times New Roman" w:cs="Times New Roman"/>
          <w:b w:val="false"/>
          <w:i w:val="false"/>
          <w:sz w:val="22"/>
        </w:rPr>
        <w:t>：真实场景反馈持续优化模型迭代，如智谱AI通过z.ai API收集行业数据反哺GLM模型训练，形成闭环护城河</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合规先发优势</w:t>
      </w:r>
      <w:r>
        <w:rPr>
          <w:rFonts w:eastAsia="宋体" w:ascii="Times New Roman" w:hAnsi="Times New Roman" w:cs="Times New Roman"/>
          <w:b w:val="false"/>
          <w:i w:val="false"/>
          <w:sz w:val="22"/>
        </w:rPr>
        <w:t>：私有化部署方案满足数据主权要求，头部厂商已占据金融、政务等高端市场，定制化解决方案溢价率达传统SaaS的3倍以上</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随着AI推理服务向规模化、公用事业化演进，基础模型厂商的商业价值正从技术授权收入转向全生命周期服务价值，其基础设施定位将进一步巩固行业马太效应</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2.2 多模态智能体驱动全自动数字劳动力</w:t>
      </w:r>
    </w:p>
    <w:p>
      <w:pPr>
        <w:spacing w:line="240" w:lineRule="auto" w:before="120" w:after="120"/>
        <w:ind w:firstLine="0"/>
        <w:jc w:val="left"/>
      </w:pPr>
      <w:r>
        <w:rPr>
          <w:rFonts w:eastAsia="宋体" w:ascii="Times New Roman" w:hAnsi="Times New Roman" w:cs="Times New Roman"/>
          <w:b w:val="false"/>
          <w:i w:val="false"/>
          <w:sz w:val="22"/>
        </w:rPr>
        <w:t>多模态智能体正推动AI从对话式工具向自主执行任务的“数字员工”跃迁，其核心突破在于感知、记忆与执行模块的融合。以零犀科技为代表的AI原生企业已在高价值场景实现商业闭环：其因果推理驱动的Voice Agent在保险销售场景中实现毫秒级响应与情感对话，全AI销售闭环的转化效果达到优秀销售水平</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rPr>
        <w:t>。这种端到端任务交付能力标志着AI从辅助工具（Copilot）向数字劳动力（Agent）的范式转移</w:t>
      </w:r>
      <w:r>
        <w:rPr>
          <w:rFonts w:eastAsia="宋体" w:ascii="Times New Roman" w:hAnsi="Times New Roman" w:cs="Times New Roman"/>
          <w:b w:val="false"/>
          <w:i w:val="false"/>
          <w:sz w:val="22"/>
          <w:vertAlign w:val="superscript"/>
        </w:rPr>
        <w:t>[30]</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商业模式重构：SaaL取代SaaS</w:t>
      </w:r>
    </w:p>
    <w:p>
      <w:pPr>
        <w:spacing w:line="240" w:lineRule="auto" w:before="120" w:after="120"/>
        <w:ind w:firstLine="0"/>
        <w:jc w:val="left"/>
      </w:pPr>
      <w:r>
        <w:rPr>
          <w:rFonts w:eastAsia="宋体" w:ascii="Times New Roman" w:hAnsi="Times New Roman" w:cs="Times New Roman"/>
          <w:b w:val="false"/>
          <w:i w:val="false"/>
          <w:sz w:val="22"/>
        </w:rPr>
        <w:t>企业付费逻辑正经历根本性变革：</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预算池迁移</w:t>
      </w:r>
      <w:r>
        <w:rPr>
          <w:rFonts w:eastAsia="宋体" w:ascii="Times New Roman" w:hAnsi="Times New Roman" w:cs="Times New Roman"/>
          <w:b w:val="false"/>
          <w:i w:val="false"/>
          <w:sz w:val="22"/>
        </w:rPr>
        <w:t>：企业支出从占营收3%的IT预算转向20%-50%的人力成本预算，形成“软件即劳动力”（SaaL）模式</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计价方式革新</w:t>
      </w:r>
      <w:r>
        <w:rPr>
          <w:rFonts w:eastAsia="宋体" w:ascii="Times New Roman" w:hAnsi="Times New Roman" w:cs="Times New Roman"/>
          <w:b w:val="false"/>
          <w:i w:val="false"/>
          <w:sz w:val="22"/>
        </w:rPr>
        <w:t>：从按账号订阅转向按结果付费。例如智能体交付“月度财报”或“合规意见书”，企业按业务成果支付费用</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价值捕获跃升</w:t>
      </w:r>
      <w:r>
        <w:rPr>
          <w:rFonts w:eastAsia="宋体" w:ascii="Times New Roman" w:hAnsi="Times New Roman" w:cs="Times New Roman"/>
          <w:b w:val="false"/>
          <w:i w:val="false"/>
          <w:sz w:val="22"/>
        </w:rPr>
        <w:t>：客单价从传统SaaS的每年$1,200飙升至$10,000，源于人力资源成本向AI支出的转移</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行业落地进程加速</w:t>
      </w:r>
    </w:p>
    <w:p>
      <w:pPr>
        <w:spacing w:line="240" w:lineRule="auto" w:before="120" w:after="120"/>
        <w:ind w:firstLine="0"/>
        <w:jc w:val="left"/>
      </w:pPr>
      <w:r>
        <w:rPr>
          <w:rFonts w:eastAsia="宋体" w:ascii="Times New Roman" w:hAnsi="Times New Roman" w:cs="Times New Roman"/>
          <w:b w:val="false"/>
          <w:i w:val="false"/>
          <w:sz w:val="22"/>
        </w:rPr>
        <w:t>高复杂度场景率先规模化：</w:t>
      </w:r>
    </w:p>
    <w:p>
      <w:pPr>
        <w:numPr>
          <w:ilvl w:val="0"/>
          <w:numId w:val="1"/>
        </w:numPr>
        <w:spacing w:line="240" w:lineRule="auto" w:before="120" w:after="120"/>
        <w:jc w:val="left"/>
      </w:pPr>
      <w:r>
        <w:rPr>
          <w:rFonts w:eastAsia="宋体" w:ascii="Times New Roman" w:hAnsi="Times New Roman" w:cs="Times New Roman"/>
          <w:b w:val="true"/>
          <w:i w:val="false"/>
          <w:sz w:val="22"/>
        </w:rPr>
        <w:t>金融保险领域</w:t>
      </w:r>
      <w:r>
        <w:rPr>
          <w:rFonts w:eastAsia="宋体" w:ascii="Times New Roman" w:hAnsi="Times New Roman" w:cs="Times New Roman"/>
          <w:b w:val="false"/>
          <w:i w:val="false"/>
          <w:sz w:val="22"/>
        </w:rPr>
        <w:t>：零犀科技Voice Agent将行业Top销售的Know-how沉淀为可调度的模型参数，在健康险销售中实现转化率对标人工销冠</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企业服务领域</w:t>
      </w:r>
      <w:r>
        <w:rPr>
          <w:rFonts w:eastAsia="宋体" w:ascii="Times New Roman" w:hAnsi="Times New Roman" w:cs="Times New Roman"/>
          <w:b w:val="false"/>
          <w:i w:val="false"/>
          <w:sz w:val="22"/>
        </w:rPr>
        <w:t>：OpenClaw开源平台支持智能体获取操作系统权限，通过模拟鼠标键盘自主完成任务。腾讯、字节跳动等企业快速推出WorkBuddy、ArkClaw等应用，推动AI进入“任务执行”阶段</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技术架构与商业壁垒</w:t>
      </w:r>
    </w:p>
    <w:p>
      <w:pPr>
        <w:spacing w:line="240" w:lineRule="auto" w:before="120" w:after="120"/>
        <w:ind w:firstLine="0"/>
        <w:jc w:val="left"/>
      </w:pPr>
      <w:r>
        <w:rPr>
          <w:rFonts w:eastAsia="宋体" w:ascii="Times New Roman" w:hAnsi="Times New Roman" w:cs="Times New Roman"/>
          <w:b w:val="false"/>
          <w:i w:val="false"/>
          <w:sz w:val="22"/>
        </w:rPr>
        <w:t>多模态智能体的三层竞争力：</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因果推理引擎</w:t>
      </w:r>
      <w:r>
        <w:rPr>
          <w:rFonts w:eastAsia="宋体" w:ascii="Times New Roman" w:hAnsi="Times New Roman" w:cs="Times New Roman"/>
          <w:b w:val="false"/>
          <w:i w:val="false"/>
          <w:sz w:val="22"/>
        </w:rPr>
        <w:t>：突破传统语音机器人时延与幻觉限制，实现毫秒级响应与精准业务决策</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垂直场景Know-how</w:t>
      </w:r>
      <w:r>
        <w:rPr>
          <w:rFonts w:eastAsia="宋体" w:ascii="Times New Roman" w:hAnsi="Times New Roman" w:cs="Times New Roman"/>
          <w:b w:val="false"/>
          <w:i w:val="false"/>
          <w:sz w:val="22"/>
        </w:rPr>
        <w:t>：行业头部企业的销售策略、服务流程被拆解为可学习的模型模块，形成私有数据壁垒</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全闭环执行能力</w:t>
      </w:r>
      <w:r>
        <w:rPr>
          <w:rFonts w:eastAsia="宋体" w:ascii="Times New Roman" w:hAnsi="Times New Roman" w:cs="Times New Roman"/>
          <w:b w:val="false"/>
          <w:i w:val="false"/>
          <w:sz w:val="22"/>
        </w:rPr>
        <w:t>：从感知用户需求到完成交易的全流程自动化，验证标准从技术指标转向业务结果达成率</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市场扩张与治理挑战</w:t>
      </w:r>
    </w:p>
    <w:p>
      <w:pPr>
        <w:spacing w:line="240" w:lineRule="auto" w:before="120" w:after="120"/>
        <w:ind w:firstLine="0"/>
        <w:jc w:val="left"/>
      </w:pPr>
      <w:r>
        <w:rPr>
          <w:rFonts w:eastAsia="宋体" w:ascii="Times New Roman" w:hAnsi="Times New Roman" w:cs="Times New Roman"/>
          <w:b w:val="false"/>
          <w:i w:val="false"/>
          <w:sz w:val="22"/>
        </w:rPr>
        <w:t>IDC预测2030年全球将有22亿AI Agent成为新数字劳动力，中国企业活跃智能体数量2031年突破3亿</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。但安全风险同步凸显：国家互联网应急中心已预警涉密场景的部署风险，产业联盟正制定企业级智能体管理指南</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3. AI在垂直行业的应用进展</w:t>
      </w:r>
    </w:p>
    <w:p>
      <w:pPr>
        <w:pStyle w:val="EM_H2_STYLE"/>
        <w:spacing w:line="240" w:lineRule="auto" w:before="120" w:after="120"/>
        <w:ind w:left="0"/>
        <w:jc w:val="left"/>
      </w:pPr>
      <w:r>
        <w:rPr>
          <w:rFonts w:eastAsia="宋体" w:ascii="宋体" w:hAnsi="宋体" w:cs="宋体"/>
          <w:b w:val="true"/>
          <w:i w:val="false"/>
          <w:sz w:val="28"/>
        </w:rPr>
        <w:t>3.1 医疗与金融领域的AI渗透现状</w:t>
      </w:r>
    </w:p>
    <w:p>
      <w:pPr>
        <w:spacing w:line="240" w:lineRule="auto" w:before="120" w:after="120"/>
        <w:ind w:firstLine="0"/>
        <w:jc w:val="left"/>
      </w:pPr>
      <w:r>
        <w:rPr>
          <w:rFonts w:eastAsia="宋体" w:ascii="Times New Roman" w:hAnsi="Times New Roman" w:cs="Times New Roman"/>
          <w:b w:val="false"/>
          <w:i w:val="false"/>
          <w:sz w:val="22"/>
        </w:rPr>
        <w:t>在医疗健康领域，人工智能正加速从技术概念向规模化应用转型。国家卫生健康委等5部门在《关于促进和规范“人工智能+医疗卫生”应用发展的实施意见》中明确目标：到2027年，形成一批临床专病专科垂直大模型和智能体应用，基层诊疗智能辅助、临床专科专病诊疗智能辅助决策和患者就诊智能服务在医疗卫生机构广泛应用</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。OpenAI推出的ChatGPT for Clinicians针对临床咨询、文书与科研场景进行深度优化，结合高难度医疗基准测试与合规机制，实现模型在高专业门槛领域的实用化落地，标志AI正向可参与核心决策流程的行业级系统延伸，例如在疾病诊断中辅助医生分析影像数据和病历信息，提升诊断准确性与效率</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。安全层面，天融信依托新一代AI安全托管（AI MSS），打造医院安全托管运营服务解决方案，通过云端安全运营平台与本地探针协同，提供暴露面梳理、恶意程序监测及事件分析处置等7×24小时服务，解决医疗数据隐私与安全挑战，同时推出勒索病毒防御和公共电子屏内容安全等场景化方案，助力AI在医疗环境中快速部署</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金融业因数据密集、场景闭环清晰，正推动AI从辅助工具升级为核心业务引擎。AI对行业的影响已从“效率提升”转向“价值创造”，深度渗透至风控、投研、客服与运营等核心环节</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在风险管理场景，AI实现企业信用动态评估与欺诈实时识别，例如通过算法分析交易流水中异常模式，预防信贷违约和洗钱行为；在投资决策端，大模型辅助研报生成与资产配置，提升投研效率，如智能系统整合宏观经济数据和市场情绪，生成量化投资策略；运营优化方面，智能客服与自动化流程降低人力成本，银行正批量布局分行级AI岗位，将科技能力下沉至业务触点，重构服务模式</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。百融智能的“AI智能投顾生态平台”通过自研大模型与智能体操作系统，打造“硅基投顾团队”，实现触客半径提升300%、营销转化率提升35%及部分场景人力成本降低70%，体现AI向深度耦合的生产关系演进</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。市场规模方面，艾瑞咨询数据显示，中国金融机构对智能体平台的投资持续高速增长：</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年份</w:t>
            </w:r>
          </w:p>
        </w:tc>
        <w:tc>
          <w:tcPr>
            <w:tcW w:type="dxa" w:w="4080"/>
            <w:vAlign w:val="center"/>
          </w:tcPr>
          <w:p>
            <w:r>
              <w:rPr>
                <w:rFonts w:eastAsia="宋体" w:ascii="Times New Roman" w:hAnsi="Times New Roman" w:cs="Times New Roman"/>
                <w:b w:val="false"/>
                <w:i w:val="false"/>
                <w:sz w:val="22"/>
              </w:rPr>
              <w:t>投资规模（亿元）</w:t>
            </w:r>
          </w:p>
        </w:tc>
        <w:tc>
          <w:tcPr>
            <w:tcW w:type="dxa" w:w="4080"/>
            <w:vAlign w:val="center"/>
          </w:tcPr>
          <w:p>
            <w:r>
              <w:rPr>
                <w:rFonts w:eastAsia="宋体" w:ascii="Times New Roman" w:hAnsi="Times New Roman" w:cs="Times New Roman"/>
                <w:b w:val="false"/>
                <w:i w:val="false"/>
                <w:sz w:val="22"/>
              </w:rPr>
              <w:t>年复合增长率</w:t>
            </w:r>
          </w:p>
        </w:tc>
      </w:tr>
      <w:tr>
        <w:tc>
          <w:tcPr>
            <w:tcW w:type="dxa" w:w="4080"/>
            <w:vAlign w:val="center"/>
          </w:tcPr>
          <w:p>
            <w:r>
              <w:rPr>
                <w:rFonts w:eastAsia="宋体" w:ascii="Times New Roman" w:hAnsi="Times New Roman" w:cs="Times New Roman"/>
                <w:b w:val="false"/>
                <w:i w:val="false"/>
                <w:sz w:val="22"/>
              </w:rPr>
              <w:t>2025</w:t>
            </w:r>
          </w:p>
        </w:tc>
        <w:tc>
          <w:tcPr>
            <w:tcW w:type="dxa" w:w="4080"/>
            <w:vAlign w:val="center"/>
          </w:tcPr>
          <w:p>
            <w:r>
              <w:rPr>
                <w:rFonts w:eastAsia="宋体" w:ascii="Times New Roman" w:hAnsi="Times New Roman" w:cs="Times New Roman"/>
                <w:b w:val="false"/>
                <w:i w:val="false"/>
                <w:sz w:val="22"/>
              </w:rPr>
              <w:t>9.5</w:t>
            </w:r>
          </w:p>
        </w:tc>
        <w:tc>
          <w:tcPr>
            <w:tcW w:type="dxa" w:w="4080"/>
            <w:vAlign w:val="center"/>
          </w:tcPr>
          <w:p>
            <w:r>
              <w:rPr>
                <w:rFonts w:eastAsia="宋体" w:ascii="Times New Roman" w:hAnsi="Times New Roman" w:cs="Times New Roman"/>
                <w:b w:val="false"/>
                <w:i w:val="false"/>
                <w:sz w:val="22"/>
              </w:rPr>
              <w:t>-</w:t>
            </w:r>
          </w:p>
        </w:tc>
      </w:tr>
      <w:tr>
        <w:tc>
          <w:tcPr>
            <w:tcW w:type="dxa" w:w="4080"/>
            <w:vAlign w:val="center"/>
          </w:tcPr>
          <w:p>
            <w:r>
              <w:rPr>
                <w:rFonts w:eastAsia="宋体" w:ascii="Times New Roman" w:hAnsi="Times New Roman" w:cs="Times New Roman"/>
                <w:b w:val="false"/>
                <w:i w:val="false"/>
                <w:sz w:val="22"/>
              </w:rPr>
              <w:t>2030</w:t>
            </w:r>
          </w:p>
        </w:tc>
        <w:tc>
          <w:tcPr>
            <w:tcW w:type="dxa" w:w="4080"/>
            <w:vAlign w:val="center"/>
          </w:tcPr>
          <w:p>
            <w:r>
              <w:rPr>
                <w:rFonts w:eastAsia="宋体" w:ascii="Times New Roman" w:hAnsi="Times New Roman" w:cs="Times New Roman"/>
                <w:b w:val="false"/>
                <w:i w:val="false"/>
                <w:sz w:val="22"/>
              </w:rPr>
              <w:t>193</w:t>
            </w:r>
          </w:p>
        </w:tc>
        <w:tc>
          <w:tcPr>
            <w:tcW w:type="dxa" w:w="4080"/>
            <w:vAlign w:val="center"/>
          </w:tcPr>
          <w:p>
            <w:r>
              <w:rPr>
                <w:rFonts w:eastAsia="宋体" w:ascii="Times New Roman" w:hAnsi="Times New Roman" w:cs="Times New Roman"/>
                <w:b w:val="false"/>
                <w:i w:val="false"/>
                <w:sz w:val="22"/>
              </w:rPr>
              <w:t>82.6%</w:t>
            </w:r>
          </w:p>
        </w:tc>
      </w:tr>
    </w:tbl>
    <w:p>
      <w:pPr>
        <w:spacing w:line="240" w:lineRule="auto" w:before="120" w:after="120"/>
        <w:ind w:firstLine="0"/>
        <w:jc w:val="left"/>
      </w:pPr>
      <w:r>
        <w:rPr>
          <w:rFonts w:eastAsia="宋体" w:ascii="Times New Roman" w:hAnsi="Times New Roman" w:cs="Times New Roman"/>
          <w:b w:val="false"/>
          <w:i w:val="false"/>
          <w:sz w:val="22"/>
        </w:rPr>
        <w:t>表格数据来源于艾瑞咨询《中国金融智能体发展研究与厂商评估报告(2025)》</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金融领域过度依赖AI可能引发显著决策风险。AI大模型存在“幻觉”问题，可能导致金融分析或投资建议失真；同质化模型易触发“模型共振”，加剧市场顺周期波动；算法“黑箱”属性还影响监管穿透性，带来合规争议</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。银行需平衡技术创新与风控，例如建立人工复核机制与伦理审查框架，避免因技术缺陷导致系统性风险。</w:t>
      </w:r>
    </w:p>
    <w:p>
      <w:pPr>
        <w:pStyle w:val="EM_H2_STYLE"/>
        <w:spacing w:line="240" w:lineRule="auto" w:before="120" w:after="120"/>
        <w:ind w:left="0"/>
        <w:jc w:val="left"/>
      </w:pPr>
      <w:r>
        <w:rPr>
          <w:rFonts w:eastAsia="宋体" w:ascii="宋体" w:hAnsi="宋体" w:cs="宋体"/>
          <w:b w:val="true"/>
          <w:i w:val="false"/>
          <w:sz w:val="28"/>
        </w:rPr>
        <w:t>3.2 工业场景中AI Agent的规模化落地</w:t>
      </w:r>
    </w:p>
    <w:p>
      <w:pPr>
        <w:spacing w:line="240" w:lineRule="auto" w:before="120" w:after="120"/>
        <w:ind w:firstLine="0"/>
        <w:jc w:val="left"/>
      </w:pPr>
      <w:r>
        <w:rPr>
          <w:rFonts w:eastAsia="宋体" w:ascii="Times New Roman" w:hAnsi="Times New Roman" w:cs="Times New Roman"/>
          <w:b w:val="false"/>
          <w:i w:val="false"/>
          <w:sz w:val="22"/>
        </w:rPr>
        <w:t>在工业领域，AI Agent的规模化落地正加速推动智能制造转型，从单点试点迈向广泛复制阶段。能科科技作为行业标杆企业，其实践体现了这一突破性进展。根据华鑫证券研究报告，能科科技在2025年完成了25个工业智能体的开发，覆盖重工装备、汽车、高科技电子等行业的150多个常态工业场景，并在70余家企业中实现落地应用。这些智能体聚焦物理AI和数字AI技术，提供从产品研制到在轨智能化运维的全链条解决方案，显著提升了工业流程的效率与可靠性</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。客户需求呈现强劲增长态势，大型企业对场景Agent的复购趋势明显，需求已从2024年的1-2个扩展到2026年的十多个，反映出AI Agent在工业场景中的深度渗透和可复用性优势</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规模化落地的核心驱动力源于AI产品的标准化与场景适配能力。能科科技自研的“灵系列”AI产品具备高标准化程度和强落地深度，相较于通用型AI服务商，其解决方案更贴合工业业务需求，实现了从项目制向产品化的快速演进。报告期内，AI产品的实施效率大幅提升，助力企业在降低工程成本的同时增强核心竞争力。例如，在火箭和卫星产业链中，智能体覆盖了研制到运维的全过程，缩短了开发周期并优化了资源分配</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。然而，这一进程仍面临多重挑战。工业人工智能创新论坛的专家指出，当前AI在工业领域已实现“广度覆盖”，但“深度应用”受限于数据壁垒、AI幻觉风险以及中小企业的高落地成本</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为应对挑战，行业正通过协同生态加速AI Agent的规模化复制。论坛共识强调，龙头企业需发挥引领作用，创业公司聚焦垂直场景攻坚，政府则搭建平台赋能，三方合力推动AI从单点工具升级为全流程智能体</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。能科科技的战略布局印证了这一路径：深化与国内外算力和大模型厂商合作，打造“算力+AI应用”“云平台+AI应用”等超融合方案，并通过全球化拓展服务出海企业，例如在AWS全球Marketplace上架产品</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。展望未来，AI Agent在工业领域的渗透率将持续提升，依托存量客户基础（超3000家企业），强化行业直销和代理商网络，驱动业务快速放量</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4. AI对产业效率与企业财务的影响</w:t>
      </w:r>
    </w:p>
    <w:p>
      <w:pPr>
        <w:pStyle w:val="EM_H2_STYLE"/>
        <w:spacing w:line="240" w:lineRule="auto" w:before="120" w:after="120"/>
        <w:ind w:left="0"/>
        <w:jc w:val="left"/>
      </w:pPr>
      <w:r>
        <w:rPr>
          <w:rFonts w:eastAsia="宋体" w:ascii="宋体" w:hAnsi="宋体" w:cs="宋体"/>
          <w:b w:val="true"/>
          <w:i w:val="false"/>
          <w:sz w:val="28"/>
        </w:rPr>
        <w:t>4.1 AI驱动企业业绩显著增长</w:t>
      </w:r>
    </w:p>
    <w:p>
      <w:pPr>
        <w:spacing w:line="240" w:lineRule="auto" w:before="120" w:after="120"/>
        <w:ind w:firstLine="0"/>
        <w:jc w:val="left"/>
      </w:pPr>
      <w:r>
        <w:rPr>
          <w:rFonts w:eastAsia="宋体" w:ascii="Times New Roman" w:hAnsi="Times New Roman" w:cs="Times New Roman"/>
          <w:b w:val="false"/>
          <w:i w:val="false"/>
          <w:sz w:val="22"/>
        </w:rPr>
        <w:t>人工智能技术的快速发展正通过企业财务数据的强劲表现得到充分验证，AI相关产品已成为多家上市公司的核心增长动力，显著推动营收扩张和业务结构优化。以源杰科技为例，2025年其数据中心业务收入从4800万元大幅跃升至3.93亿元，同比增长719%，占公司整体收入比例超过50%，成为关键收入来源。这一增长主要源于AI算力需求的爆发式攀升，带动数据中心产品毛利率提升，进而推动公司净利润实现扭亏为盈——2024年亏损613万元，而2025年净利润达正增长</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。客户集中度虽构成风险（前五大客户销售额占比71.8%），但AI业务的强劲表现凸显了行业景气度的高企。</w:t>
      </w:r>
    </w:p>
    <w:p>
      <w:pPr>
        <w:spacing w:line="240" w:lineRule="auto" w:before="120" w:after="120"/>
        <w:ind w:firstLine="0"/>
        <w:jc w:val="left"/>
      </w:pPr>
      <w:r>
        <w:rPr>
          <w:rFonts w:eastAsia="宋体" w:ascii="Times New Roman" w:hAnsi="Times New Roman" w:cs="Times New Roman"/>
          <w:b w:val="false"/>
          <w:i w:val="false"/>
          <w:sz w:val="22"/>
        </w:rPr>
        <w:t>互联网巨头同样受益于AI的商业化落地。腾讯2025年第四季度财报显示，AI在核心业务中产生实质性增益：增值服务收入同比增长14%至899.2亿元，营销服务收入增长17%至411.2亿元，金融科技及企业服务业务收入增长8%至608.2亿元。AI产品矩阵如混元3.0和WorkBuddy智能体持续迭代，用户活跃度提升，直接驱动业务增速跑赢行业平均水平</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阿里巴巴集团在2025年第四季度实现云业务收入同比增长36%，其中AI相关产品收入连续10个季度保持三位数增长，MaaS平台业务高速扩张。首席执行官吴泳铭明确将AI定位为战略引擎，目标未来5年内云和AI商业化年收入突破1000亿美元</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企业名称</w:t>
            </w:r>
          </w:p>
        </w:tc>
        <w:tc>
          <w:tcPr>
            <w:tcW w:type="dxa" w:w="3060"/>
            <w:vAlign w:val="center"/>
          </w:tcPr>
          <w:p>
            <w:r>
              <w:rPr>
                <w:rFonts w:eastAsia="宋体" w:ascii="Times New Roman" w:hAnsi="Times New Roman" w:cs="Times New Roman"/>
                <w:b w:val="false"/>
                <w:i w:val="false"/>
                <w:sz w:val="22"/>
              </w:rPr>
              <w:t>AI相关业务</w:t>
            </w:r>
          </w:p>
        </w:tc>
        <w:tc>
          <w:tcPr>
            <w:tcW w:type="dxa" w:w="3060"/>
            <w:vAlign w:val="center"/>
          </w:tcPr>
          <w:p>
            <w:r>
              <w:rPr>
                <w:rFonts w:eastAsia="宋体" w:ascii="Times New Roman" w:hAnsi="Times New Roman" w:cs="Times New Roman"/>
                <w:b w:val="false"/>
                <w:i w:val="false"/>
                <w:sz w:val="22"/>
              </w:rPr>
              <w:t>关键财务指标（2025年）</w:t>
            </w:r>
          </w:p>
        </w:tc>
        <w:tc>
          <w:tcPr>
            <w:tcW w:type="dxa" w:w="3060"/>
            <w:vAlign w:val="center"/>
          </w:tcPr>
          <w:p>
            <w:r>
              <w:rPr>
                <w:rFonts w:eastAsia="宋体" w:ascii="Times New Roman" w:hAnsi="Times New Roman" w:cs="Times New Roman"/>
                <w:b w:val="false"/>
                <w:i w:val="false"/>
                <w:sz w:val="22"/>
              </w:rPr>
              <w:t>增长驱动因素</w:t>
            </w:r>
          </w:p>
        </w:tc>
      </w:tr>
      <w:tr>
        <w:tc>
          <w:tcPr>
            <w:tcW w:type="dxa" w:w="3060"/>
            <w:vAlign w:val="center"/>
          </w:tcPr>
          <w:p>
            <w:r>
              <w:rPr>
                <w:rFonts w:eastAsia="宋体" w:ascii="Times New Roman" w:hAnsi="Times New Roman" w:cs="Times New Roman"/>
                <w:b w:val="false"/>
                <w:i w:val="false"/>
                <w:sz w:val="22"/>
              </w:rPr>
              <w:t>源杰科技</w:t>
            </w:r>
          </w:p>
        </w:tc>
        <w:tc>
          <w:tcPr>
            <w:tcW w:type="dxa" w:w="3060"/>
            <w:vAlign w:val="center"/>
          </w:tcPr>
          <w:p>
            <w:r>
              <w:rPr>
                <w:rFonts w:eastAsia="宋体" w:ascii="Times New Roman" w:hAnsi="Times New Roman" w:cs="Times New Roman"/>
                <w:b w:val="false"/>
                <w:i w:val="false"/>
                <w:sz w:val="22"/>
              </w:rPr>
              <w:t>数据中心业务</w:t>
            </w:r>
          </w:p>
        </w:tc>
        <w:tc>
          <w:tcPr>
            <w:tcW w:type="dxa" w:w="3060"/>
            <w:vAlign w:val="center"/>
          </w:tcPr>
          <w:p>
            <w:r>
              <w:rPr>
                <w:rFonts w:eastAsia="宋体" w:ascii="Times New Roman" w:hAnsi="Times New Roman" w:cs="Times New Roman"/>
                <w:b w:val="false"/>
                <w:i w:val="false"/>
                <w:sz w:val="22"/>
              </w:rPr>
              <w:t>收入同比增长719%，占比超50%</w:t>
            </w:r>
          </w:p>
        </w:tc>
        <w:tc>
          <w:tcPr>
            <w:tcW w:type="dxa" w:w="3060"/>
            <w:vAlign w:val="center"/>
          </w:tcPr>
          <w:p>
            <w:r>
              <w:rPr>
                <w:rFonts w:eastAsia="宋体" w:ascii="Times New Roman" w:hAnsi="Times New Roman" w:cs="Times New Roman"/>
                <w:b w:val="false"/>
                <w:i w:val="false"/>
                <w:sz w:val="22"/>
              </w:rPr>
              <w:t>AI算力需求爆发，产品毛利率优化</w:t>
            </w:r>
          </w:p>
        </w:tc>
      </w:tr>
      <w:tr>
        <w:tc>
          <w:tcPr>
            <w:tcW w:type="dxa" w:w="3060"/>
            <w:vAlign w:val="center"/>
          </w:tcPr>
          <w:p>
            <w:r>
              <w:rPr>
                <w:rFonts w:eastAsia="宋体" w:ascii="Times New Roman" w:hAnsi="Times New Roman" w:cs="Times New Roman"/>
                <w:b w:val="false"/>
                <w:i w:val="false"/>
                <w:sz w:val="22"/>
              </w:rPr>
              <w:t>腾讯</w:t>
            </w:r>
          </w:p>
        </w:tc>
        <w:tc>
          <w:tcPr>
            <w:tcW w:type="dxa" w:w="3060"/>
            <w:vAlign w:val="center"/>
          </w:tcPr>
          <w:p>
            <w:r>
              <w:rPr>
                <w:rFonts w:eastAsia="宋体" w:ascii="Times New Roman" w:hAnsi="Times New Roman" w:cs="Times New Roman"/>
                <w:b w:val="false"/>
                <w:i w:val="false"/>
                <w:sz w:val="22"/>
              </w:rPr>
              <w:t>AI产品矩阵</w:t>
            </w:r>
          </w:p>
        </w:tc>
        <w:tc>
          <w:tcPr>
            <w:tcW w:type="dxa" w:w="3060"/>
            <w:vAlign w:val="center"/>
          </w:tcPr>
          <w:p>
            <w:r>
              <w:rPr>
                <w:rFonts w:eastAsia="宋体" w:ascii="Times New Roman" w:hAnsi="Times New Roman" w:cs="Times New Roman"/>
                <w:b w:val="false"/>
                <w:i w:val="false"/>
                <w:sz w:val="22"/>
              </w:rPr>
              <w:t>增值服务收入增14%，营销服务增17%</w:t>
            </w:r>
          </w:p>
        </w:tc>
        <w:tc>
          <w:tcPr>
            <w:tcW w:type="dxa" w:w="3060"/>
            <w:vAlign w:val="center"/>
          </w:tcPr>
          <w:p>
            <w:r>
              <w:rPr>
                <w:rFonts w:eastAsia="宋体" w:ascii="Times New Roman" w:hAnsi="Times New Roman" w:cs="Times New Roman"/>
                <w:b w:val="false"/>
                <w:i w:val="false"/>
                <w:sz w:val="22"/>
              </w:rPr>
              <w:t>AI应用活跃度提升，核心业务增益</w:t>
            </w:r>
          </w:p>
        </w:tc>
      </w:tr>
      <w:tr>
        <w:tc>
          <w:tcPr>
            <w:tcW w:type="dxa" w:w="3060"/>
            <w:vAlign w:val="center"/>
          </w:tcPr>
          <w:p>
            <w:r>
              <w:rPr>
                <w:rFonts w:eastAsia="宋体" w:ascii="Times New Roman" w:hAnsi="Times New Roman" w:cs="Times New Roman"/>
                <w:b w:val="false"/>
                <w:i w:val="false"/>
                <w:sz w:val="22"/>
              </w:rPr>
              <w:t>阿里巴巴</w:t>
            </w:r>
          </w:p>
        </w:tc>
        <w:tc>
          <w:tcPr>
            <w:tcW w:type="dxa" w:w="3060"/>
            <w:vAlign w:val="center"/>
          </w:tcPr>
          <w:p>
            <w:r>
              <w:rPr>
                <w:rFonts w:eastAsia="宋体" w:ascii="Times New Roman" w:hAnsi="Times New Roman" w:cs="Times New Roman"/>
                <w:b w:val="false"/>
                <w:i w:val="false"/>
                <w:sz w:val="22"/>
              </w:rPr>
              <w:t>云与AI商业化</w:t>
            </w:r>
          </w:p>
        </w:tc>
        <w:tc>
          <w:tcPr>
            <w:tcW w:type="dxa" w:w="3060"/>
            <w:vAlign w:val="center"/>
          </w:tcPr>
          <w:p>
            <w:r>
              <w:rPr>
                <w:rFonts w:eastAsia="宋体" w:ascii="Times New Roman" w:hAnsi="Times New Roman" w:cs="Times New Roman"/>
                <w:b w:val="false"/>
                <w:i w:val="false"/>
                <w:sz w:val="22"/>
              </w:rPr>
              <w:t>AI收入连续10季度三位数增长</w:t>
            </w:r>
          </w:p>
        </w:tc>
        <w:tc>
          <w:tcPr>
            <w:tcW w:type="dxa" w:w="3060"/>
            <w:vAlign w:val="center"/>
          </w:tcPr>
          <w:p>
            <w:r>
              <w:rPr>
                <w:rFonts w:eastAsia="宋体" w:ascii="Times New Roman" w:hAnsi="Times New Roman" w:cs="Times New Roman"/>
                <w:b w:val="false"/>
                <w:i w:val="false"/>
                <w:sz w:val="22"/>
              </w:rPr>
              <w:t>MaaS平台扩张，战略目标导向</w:t>
            </w:r>
          </w:p>
        </w:tc>
      </w:tr>
    </w:tbl>
    <w:p>
      <w:pPr>
        <w:spacing w:line="240" w:lineRule="auto" w:before="120" w:after="120"/>
        <w:ind w:firstLine="0"/>
        <w:jc w:val="left"/>
      </w:pPr>
      <w:r>
        <w:rPr>
          <w:rFonts w:eastAsia="宋体" w:ascii="Times New Roman" w:hAnsi="Times New Roman" w:cs="Times New Roman"/>
          <w:b w:val="false"/>
          <w:i w:val="false"/>
          <w:sz w:val="22"/>
        </w:rPr>
        <w:t>表格数据综合自源杰科技年报</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、腾讯及阿里巴巴财报分析</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AI的业绩驱动效应进一步延伸至传统制造业。在汽车行业，AI技术已渗透至研发、生产及销售全价值链，实现显著降本增效。上海轩元私募基金分析指出，AI在汽车研发端降本达10%-15%，生产环节降本7%，销售环节降本5%以上，这种效率提升直接转化为企业营收增长动力</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。产业资本协同加速了“AI+汽车”的商业化落地，推动全产业链生态重塑，从机械产品向智能生活空间转型，进一步释放业绩潜力</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。全球AI投资总额超过4000亿美元的背景强化了这一趋势，企业通过规模化应用AI项目，从试点阶段转向全业务覆盖，逐步覆盖高昂算力成本，实现收入预期的理性回归</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4.2 AI内部提效带动企业盈利能力改善</w:t>
      </w:r>
    </w:p>
    <w:p>
      <w:pPr>
        <w:spacing w:line="240" w:lineRule="auto" w:before="120" w:after="120"/>
        <w:ind w:left="0"/>
        <w:jc w:val="left"/>
      </w:pPr>
      <w:r>
        <w:rPr>
          <w:rFonts w:eastAsia="宋体" w:ascii="宋体" w:hAnsi="宋体" w:cs="宋体"/>
          <w:b w:val="true"/>
          <w:i w:val="false"/>
          <w:sz w:val="24"/>
        </w:rPr>
        <w:t>4.2 AI内部提效带动企业盈利能力改善</w:t>
      </w:r>
    </w:p>
    <w:p>
      <w:pPr>
        <w:spacing w:line="240" w:lineRule="auto" w:before="120" w:after="120"/>
        <w:ind w:firstLine="0"/>
        <w:jc w:val="left"/>
      </w:pPr>
      <w:r>
        <w:rPr>
          <w:rFonts w:eastAsia="宋体" w:ascii="Times New Roman" w:hAnsi="Times New Roman" w:cs="Times New Roman"/>
          <w:b w:val="false"/>
          <w:i w:val="false"/>
          <w:sz w:val="22"/>
        </w:rPr>
        <w:t xml:space="preserve">AI技术不仅通过对外服务创造收入，更通过内部流程重构显著提升企业运营效率，成为驱动盈利能力改善的核心引擎。以供应链管理为例，AI驱动的动态需求预测与库存优化系统，将传统“经验导向”的决策转化为数据驱动的实时响应机制。某头部美妆企业通过AI算法平台实现配方研发周期缩短40%，原料浪费率降低15%，同时新品上市速度提升50% </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。此类效率增益直接反映在成本结构中：2025年汽车行业数据显示，AI在研发环节的降本幅度达10%-15%，生产环节降本7%，销售环节降本5%以上</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企业费用结构的优化尤为突出。AI工具在行政流程自动化、智能客服、合同审核等场景的规模化应用，推动销售与管理费用率持续下行。典型案例显示，某电商服务企业通过AI重构业务流程后，2025年销售费用率同比下降3.2个百分点，管理费用率降低1.8个百分点，同期毛利率提升4.47个百分点至29.28% </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rPr>
        <w:t>。这一趋势在软件开发领域更为显著：AI编程工具将工程师从代码编写中解放，使其转型为“团队指挥官”，单功能开发周期从天级压缩至小时级，研发人力成本下降30%以上</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研发投入的AI化转型进一步强化盈利动能。企业将研发资源集中于AI模型优化与垂直场景适配，替代传统高成本试错模式。用友网络通过AI深度融入财务、供应链等核心模块，2025年研发效率提升20%，亏损收窄幅度超市场预期</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rPr>
        <w:t>。半导体企业更借助AI实现设计仿真迭代加速，头部企业芯朋微在超高压工业电源芯片量产过程中，依托AI验证平台将测试周期缩短60%，推动2025年归母净利润增长超六成</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财务表现验证了AI提效的双重价值：</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企业案例</w:t>
            </w:r>
          </w:p>
        </w:tc>
        <w:tc>
          <w:tcPr>
            <w:tcW w:type="dxa" w:w="4080"/>
            <w:vAlign w:val="center"/>
          </w:tcPr>
          <w:p>
            <w:r>
              <w:rPr>
                <w:rFonts w:eastAsia="宋体" w:ascii="Times New Roman" w:hAnsi="Times New Roman" w:cs="Times New Roman"/>
                <w:b w:val="false"/>
                <w:i w:val="false"/>
                <w:sz w:val="22"/>
              </w:rPr>
              <w:t>AI应用场景</w:t>
            </w:r>
          </w:p>
        </w:tc>
        <w:tc>
          <w:tcPr>
            <w:tcW w:type="dxa" w:w="4080"/>
            <w:vAlign w:val="center"/>
          </w:tcPr>
          <w:p>
            <w:r>
              <w:rPr>
                <w:rFonts w:eastAsia="宋体" w:ascii="Times New Roman" w:hAnsi="Times New Roman" w:cs="Times New Roman"/>
                <w:b w:val="false"/>
                <w:i w:val="false"/>
                <w:sz w:val="22"/>
              </w:rPr>
              <w:t>盈利能力改善指标</w:t>
            </w:r>
          </w:p>
        </w:tc>
      </w:tr>
      <w:tr>
        <w:tc>
          <w:tcPr>
            <w:tcW w:type="dxa" w:w="4080"/>
            <w:vAlign w:val="center"/>
          </w:tcPr>
          <w:p>
            <w:r>
              <w:rPr>
                <w:rFonts w:eastAsia="宋体" w:ascii="Times New Roman" w:hAnsi="Times New Roman" w:cs="Times New Roman"/>
                <w:b w:val="false"/>
                <w:i w:val="false"/>
                <w:sz w:val="22"/>
              </w:rPr>
              <w:t>某美妆企业</w:t>
            </w:r>
          </w:p>
        </w:tc>
        <w:tc>
          <w:tcPr>
            <w:tcW w:type="dxa" w:w="4080"/>
            <w:vAlign w:val="center"/>
          </w:tcPr>
          <w:p>
            <w:r>
              <w:rPr>
                <w:rFonts w:eastAsia="宋体" w:ascii="Times New Roman" w:hAnsi="Times New Roman" w:cs="Times New Roman"/>
                <w:b w:val="false"/>
                <w:i w:val="false"/>
                <w:sz w:val="22"/>
              </w:rPr>
              <w:t>配方研发与供应链优化</w:t>
            </w:r>
          </w:p>
        </w:tc>
        <w:tc>
          <w:tcPr>
            <w:tcW w:type="dxa" w:w="4080"/>
            <w:vAlign w:val="center"/>
          </w:tcPr>
          <w:p>
            <w:r>
              <w:rPr>
                <w:rFonts w:eastAsia="宋体" w:ascii="Times New Roman" w:hAnsi="Times New Roman" w:cs="Times New Roman"/>
                <w:b w:val="false"/>
                <w:i w:val="false"/>
                <w:sz w:val="22"/>
              </w:rPr>
              <w:t>新品上市速度+50%</w:t>
            </w:r>
          </w:p>
        </w:tc>
      </w:tr>
      <w:tr>
        <w:tc>
          <w:tcPr>
            <w:tcW w:type="dxa" w:w="4080"/>
            <w:vAlign w:val="center"/>
          </w:tcPr>
          <w:p>
            <w:r>
              <w:rPr>
                <w:rFonts w:eastAsia="宋体" w:ascii="Times New Roman" w:hAnsi="Times New Roman" w:cs="Times New Roman"/>
                <w:b w:val="false"/>
                <w:i w:val="false"/>
                <w:sz w:val="22"/>
              </w:rPr>
              <w:t>某电商服务商</w:t>
            </w:r>
          </w:p>
        </w:tc>
        <w:tc>
          <w:tcPr>
            <w:tcW w:type="dxa" w:w="4080"/>
            <w:vAlign w:val="center"/>
          </w:tcPr>
          <w:p>
            <w:r>
              <w:rPr>
                <w:rFonts w:eastAsia="宋体" w:ascii="Times New Roman" w:hAnsi="Times New Roman" w:cs="Times New Roman"/>
                <w:b w:val="false"/>
                <w:i w:val="false"/>
                <w:sz w:val="22"/>
              </w:rPr>
              <w:t>业务流程自动化</w:t>
            </w:r>
          </w:p>
        </w:tc>
        <w:tc>
          <w:tcPr>
            <w:tcW w:type="dxa" w:w="4080"/>
            <w:vAlign w:val="center"/>
          </w:tcPr>
          <w:p>
            <w:r>
              <w:rPr>
                <w:rFonts w:eastAsia="宋体" w:ascii="Times New Roman" w:hAnsi="Times New Roman" w:cs="Times New Roman"/>
                <w:b w:val="false"/>
                <w:i w:val="false"/>
                <w:sz w:val="22"/>
              </w:rPr>
              <w:t>毛利率+4.47pcts</w:t>
            </w:r>
          </w:p>
        </w:tc>
      </w:tr>
      <w:tr>
        <w:tc>
          <w:tcPr>
            <w:tcW w:type="dxa" w:w="4080"/>
            <w:vAlign w:val="center"/>
          </w:tcPr>
          <w:p>
            <w:r>
              <w:rPr>
                <w:rFonts w:eastAsia="宋体" w:ascii="Times New Roman" w:hAnsi="Times New Roman" w:cs="Times New Roman"/>
                <w:b w:val="false"/>
                <w:i w:val="false"/>
                <w:sz w:val="22"/>
              </w:rPr>
              <w:t>汽车产业链</w:t>
            </w:r>
          </w:p>
        </w:tc>
        <w:tc>
          <w:tcPr>
            <w:tcW w:type="dxa" w:w="4080"/>
            <w:vAlign w:val="center"/>
          </w:tcPr>
          <w:p>
            <w:r>
              <w:rPr>
                <w:rFonts w:eastAsia="宋体" w:ascii="Times New Roman" w:hAnsi="Times New Roman" w:cs="Times New Roman"/>
                <w:b w:val="false"/>
                <w:i w:val="false"/>
                <w:sz w:val="22"/>
              </w:rPr>
              <w:t>全价值链重塑</w:t>
            </w:r>
          </w:p>
        </w:tc>
        <w:tc>
          <w:tcPr>
            <w:tcW w:type="dxa" w:w="4080"/>
            <w:vAlign w:val="center"/>
          </w:tcPr>
          <w:p>
            <w:r>
              <w:rPr>
                <w:rFonts w:eastAsia="宋体" w:ascii="Times New Roman" w:hAnsi="Times New Roman" w:cs="Times New Roman"/>
                <w:b w:val="false"/>
                <w:i w:val="false"/>
                <w:sz w:val="22"/>
              </w:rPr>
              <w:t>综合降本率10%-15%</w:t>
            </w:r>
          </w:p>
        </w:tc>
      </w:tr>
      <w:tr>
        <w:tc>
          <w:tcPr>
            <w:tcW w:type="dxa" w:w="4080"/>
            <w:vAlign w:val="center"/>
          </w:tcPr>
          <w:p>
            <w:r>
              <w:rPr>
                <w:rFonts w:eastAsia="宋体" w:ascii="Times New Roman" w:hAnsi="Times New Roman" w:cs="Times New Roman"/>
                <w:b w:val="false"/>
                <w:i w:val="false"/>
                <w:sz w:val="22"/>
              </w:rPr>
              <w:t>半导体设计公司</w:t>
            </w:r>
          </w:p>
        </w:tc>
        <w:tc>
          <w:tcPr>
            <w:tcW w:type="dxa" w:w="4080"/>
            <w:vAlign w:val="center"/>
          </w:tcPr>
          <w:p>
            <w:r>
              <w:rPr>
                <w:rFonts w:eastAsia="宋体" w:ascii="Times New Roman" w:hAnsi="Times New Roman" w:cs="Times New Roman"/>
                <w:b w:val="false"/>
                <w:i w:val="false"/>
                <w:sz w:val="22"/>
              </w:rPr>
              <w:t>AI验证平台</w:t>
            </w:r>
          </w:p>
        </w:tc>
        <w:tc>
          <w:tcPr>
            <w:tcW w:type="dxa" w:w="4080"/>
            <w:vAlign w:val="center"/>
          </w:tcPr>
          <w:p>
            <w:r>
              <w:rPr>
                <w:rFonts w:eastAsia="宋体" w:ascii="Times New Roman" w:hAnsi="Times New Roman" w:cs="Times New Roman"/>
                <w:b w:val="false"/>
                <w:i w:val="false"/>
                <w:sz w:val="22"/>
              </w:rPr>
              <w:t>归母净利润+60%</w:t>
            </w:r>
          </w:p>
        </w:tc>
      </w:tr>
    </w:tbl>
    <w:p>
      <w:pPr>
        <w:spacing w:line="240" w:lineRule="auto" w:before="120" w:after="120"/>
        <w:ind w:firstLine="0"/>
        <w:jc w:val="left"/>
      </w:pPr>
      <w:r>
        <w:rPr>
          <w:rFonts w:eastAsia="宋体" w:ascii="Times New Roman" w:hAnsi="Times New Roman" w:cs="Times New Roman"/>
          <w:b w:val="false"/>
          <w:i w:val="false"/>
          <w:sz w:val="22"/>
        </w:rPr>
        <w:t>（数据综合自证券日报、证券时报等企业实践案例</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这种增效路径最终传导至净利率跃升。以轻资产运营的电商服务企业壹网壹创为例，其通过AI工具替代低效人力操作，2025年归母净利率达10.02%，同比提升3.87个百分点，库存周转率同步提高22% </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rPr>
        <w:t>。制造业企业则通过AI实现柔性生产调度，在订单波动环境下仍保持产能利用率高于行业均值15个百分点，边际贡献率持续扩大</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。当前，AI提效已从单点工具应用进阶至全业务流程重构，成为企业盈利能力穿越周期的关键支点。</w:t>
      </w:r>
    </w:p>
    <w:p>
      <w:pPr>
        <w:pStyle w:val="EM_H1_STYLE"/>
        <w:spacing w:line="240" w:lineRule="auto" w:before="600" w:after="120"/>
        <w:ind w:left="0"/>
        <w:jc w:val="left"/>
      </w:pPr>
      <w:r>
        <w:rPr>
          <w:rFonts w:eastAsia="宋体" w:ascii="宋体" w:hAnsi="宋体" w:cs="宋体"/>
          <w:b w:val="true"/>
          <w:i w:val="false"/>
          <w:sz w:val="36"/>
        </w:rPr>
        <w:t>5. AI与人机协同的未来图景</w:t>
      </w:r>
    </w:p>
    <w:p>
      <w:pPr>
        <w:pStyle w:val="EM_H2_STYLE"/>
        <w:spacing w:line="240" w:lineRule="auto" w:before="120" w:after="120"/>
        <w:ind w:left="0"/>
        <w:jc w:val="left"/>
      </w:pPr>
      <w:r>
        <w:rPr>
          <w:rFonts w:eastAsia="宋体" w:ascii="宋体" w:hAnsi="宋体" w:cs="宋体"/>
          <w:b w:val="true"/>
          <w:i w:val="false"/>
          <w:sz w:val="28"/>
        </w:rPr>
        <w:t>5.1 游戏行业：AI重塑开发与玩法设计</w:t>
      </w:r>
    </w:p>
    <w:p>
      <w:pPr>
        <w:spacing w:line="240" w:lineRule="auto" w:before="120" w:after="120"/>
        <w:ind w:left="0"/>
        <w:jc w:val="left"/>
      </w:pPr>
      <w:r>
        <w:rPr>
          <w:rFonts w:eastAsia="宋体" w:ascii="宋体" w:hAnsi="宋体" w:cs="宋体"/>
          <w:b w:val="true"/>
          <w:i w:val="false"/>
          <w:sz w:val="24"/>
        </w:rPr>
        <w:t>5.1 游戏行业：AI重塑开发与玩法设计</w:t>
      </w:r>
    </w:p>
    <w:p>
      <w:pPr>
        <w:spacing w:line="240" w:lineRule="auto" w:before="120" w:after="120"/>
        <w:ind w:firstLine="0"/>
        <w:jc w:val="left"/>
      </w:pPr>
      <w:r>
        <w:rPr>
          <w:rFonts w:eastAsia="宋体" w:ascii="Times New Roman" w:hAnsi="Times New Roman" w:cs="Times New Roman"/>
          <w:b w:val="false"/>
          <w:i w:val="false"/>
          <w:sz w:val="22"/>
        </w:rPr>
        <w:t>当前，AI技术正在深度重构游戏行业的开发流程与玩法设计范式。在程序开发领域，生成式AI与决策式AI已从辅助工具升级为全流程赋能引擎。传统开发中高度依赖人工编程的核心逻辑编写、引擎集成优化、性能调优等环节，正被智能化工具渗透：</w:t>
      </w:r>
    </w:p>
    <w:p>
      <w:pPr>
        <w:numPr>
          <w:ilvl w:val="0"/>
          <w:numId w:val="1"/>
        </w:numPr>
        <w:spacing w:line="240" w:lineRule="auto" w:before="120" w:after="120"/>
        <w:jc w:val="left"/>
      </w:pPr>
      <w:r>
        <w:rPr>
          <w:rFonts w:eastAsia="宋体" w:ascii="Times New Roman" w:hAnsi="Times New Roman" w:cs="Times New Roman"/>
          <w:b w:val="true"/>
          <w:i w:val="false"/>
          <w:sz w:val="22"/>
        </w:rPr>
        <w:t>代码生成自动化</w:t>
      </w:r>
      <w:r>
        <w:rPr>
          <w:rFonts w:eastAsia="宋体" w:ascii="Times New Roman" w:hAnsi="Times New Roman" w:cs="Times New Roman"/>
          <w:b w:val="false"/>
          <w:i w:val="false"/>
          <w:sz w:val="22"/>
        </w:rPr>
        <w:t>：AI可依据高层级需求描述生成基础功能模块代码，显著降低技术实现门槛</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架构设计智能化</w:t>
      </w:r>
      <w:r>
        <w:rPr>
          <w:rFonts w:eastAsia="宋体" w:ascii="Times New Roman" w:hAnsi="Times New Roman" w:cs="Times New Roman"/>
          <w:b w:val="false"/>
          <w:i w:val="false"/>
          <w:sz w:val="22"/>
        </w:rPr>
        <w:t>：AI通过分析游戏机制需求，自动生成系统架构方案并验证其扩展性与容错性，例如腾讯混元世界模型1.5已实现场景级架构生成</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测试与调优流程化</w:t>
      </w:r>
      <w:r>
        <w:rPr>
          <w:rFonts w:eastAsia="宋体" w:ascii="Times New Roman" w:hAnsi="Times New Roman" w:cs="Times New Roman"/>
          <w:b w:val="false"/>
          <w:i w:val="false"/>
          <w:sz w:val="22"/>
        </w:rPr>
        <w:t>：AI驱动的自动化测试工具可覆盖90%以上常规用例，并通过强化学习优化渲染性能与内存管理</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玩法设计：从预设规则到AI智能体涌现行为</w:t>
      </w:r>
    </w:p>
    <w:p>
      <w:pPr>
        <w:spacing w:line="240" w:lineRule="auto" w:before="120" w:after="120"/>
        <w:ind w:firstLine="0"/>
        <w:jc w:val="left"/>
      </w:pPr>
      <w:r>
        <w:rPr>
          <w:rFonts w:eastAsia="宋体" w:ascii="Times New Roman" w:hAnsi="Times New Roman" w:cs="Times New Roman"/>
          <w:b w:val="false"/>
          <w:i w:val="false"/>
          <w:sz w:val="22"/>
        </w:rPr>
        <w:t>传统线性玩法设计正被“AI即环境”的新范式取代。基于规则引擎的AI智能体能够实时生成动态交互内容：</w:t>
      </w:r>
    </w:p>
    <w:p>
      <w:pPr>
        <w:numPr>
          <w:ilvl w:val="0"/>
          <w:numId w:val="1"/>
        </w:numPr>
        <w:spacing w:line="240" w:lineRule="auto" w:before="120" w:after="120"/>
        <w:jc w:val="left"/>
      </w:pPr>
      <w:r>
        <w:rPr>
          <w:rFonts w:eastAsia="宋体" w:ascii="Times New Roman" w:hAnsi="Times New Roman" w:cs="Times New Roman"/>
          <w:b w:val="true"/>
          <w:i w:val="false"/>
          <w:sz w:val="22"/>
        </w:rPr>
        <w:t>动态世界生成</w:t>
      </w:r>
      <w:r>
        <w:rPr>
          <w:rFonts w:eastAsia="宋体" w:ascii="Times New Roman" w:hAnsi="Times New Roman" w:cs="Times New Roman"/>
          <w:b w:val="false"/>
          <w:i w:val="false"/>
          <w:sz w:val="22"/>
        </w:rPr>
        <w:t>：Oasis引擎绕过传统渲染管线，通过AI实时响应玩家输入生成连贯的开放世界场景，实现“交互即创作”的体验</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自适应叙事系统</w:t>
      </w:r>
      <w:r>
        <w:rPr>
          <w:rFonts w:eastAsia="宋体" w:ascii="Times New Roman" w:hAnsi="Times New Roman" w:cs="Times New Roman"/>
          <w:b w:val="false"/>
          <w:i w:val="false"/>
          <w:sz w:val="22"/>
        </w:rPr>
        <w:t>：AI智能体依据玩家行为数据实时调整剧情分支与NPC行为逻辑，形成千人千面的叙事路径</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人机协同的边界与挑战</w:t>
      </w:r>
    </w:p>
    <w:p>
      <w:pPr>
        <w:spacing w:line="240" w:lineRule="auto" w:before="120" w:after="120"/>
        <w:ind w:firstLine="0"/>
        <w:jc w:val="left"/>
      </w:pPr>
      <w:r>
        <w:rPr>
          <w:rFonts w:eastAsia="宋体" w:ascii="Times New Roman" w:hAnsi="Times New Roman" w:cs="Times New Roman"/>
          <w:b w:val="false"/>
          <w:i w:val="false"/>
          <w:sz w:val="22"/>
        </w:rPr>
        <w:t>尽管AI大幅提升开发效率，人类仍主导核心创意与美学决策：</w:t>
      </w:r>
    </w:p>
    <w:p>
      <w:pPr>
        <w:numPr>
          <w:ilvl w:val="0"/>
          <w:numId w:val="1"/>
        </w:numPr>
        <w:spacing w:line="240" w:lineRule="auto" w:before="120" w:after="120"/>
        <w:jc w:val="left"/>
      </w:pPr>
      <w:r>
        <w:rPr>
          <w:rFonts w:eastAsia="宋体" w:ascii="Times New Roman" w:hAnsi="Times New Roman" w:cs="Times New Roman"/>
          <w:b w:val="true"/>
          <w:i w:val="false"/>
          <w:sz w:val="22"/>
        </w:rPr>
        <w:t>视听制作局限</w:t>
      </w:r>
      <w:r>
        <w:rPr>
          <w:rFonts w:eastAsia="宋体" w:ascii="Times New Roman" w:hAnsi="Times New Roman" w:cs="Times New Roman"/>
          <w:b w:val="false"/>
          <w:i w:val="false"/>
          <w:sz w:val="22"/>
        </w:rPr>
        <w:t>：AI生成的美术资产与音乐在艺术表现力、风格一致性上仍落后人工创作，奇幻/科幻类虚构元素尤其依赖人类设计师</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权限治理框架</w:t>
      </w:r>
      <w:r>
        <w:rPr>
          <w:rFonts w:eastAsia="宋体" w:ascii="Times New Roman" w:hAnsi="Times New Roman" w:cs="Times New Roman"/>
          <w:b w:val="false"/>
          <w:i w:val="false"/>
          <w:sz w:val="22"/>
        </w:rPr>
        <w:t>：需建立人机协同审批机制（如操作审计、权限最小化）以保障开发安全与创意自主权</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未来游戏开发将形成“AI生成+人类精修”的混合模式，而玩法设计的终极图景是AI智能体在规则框架内自主演化行为逻辑，推动游戏从静态产品进化为动态生态</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参考来源</w:t>
      </w:r>
    </w:p>
    <w:p>
      <w:pPr>
        <w:spacing w:line="240" w:lineRule="auto" w:before="120" w:after="120"/>
        <w:ind w:left="0"/>
        <w:jc w:val="left"/>
      </w:pPr>
      <w:r>
        <w:rPr>
          <w:rFonts w:eastAsia="宋体" w:ascii="Times New Roman" w:hAnsi="Times New Roman" w:cs="Times New Roman"/>
          <w:b w:val="false"/>
          <w:i w:val="false"/>
          <w:sz w:val="22"/>
        </w:rPr>
        <w:t xml:space="preserve">[1] DMXAPI挖掘AI降本潜力，深度绑定DeepSeek-V4，限时2.5折优惠轻松控制运营预算_模型_场景_行业 | 2026-04-28 02:07:00 | (https://www.sohu.com/a/1015391046_122455356) </w:t>
      </w:r>
    </w:p>
    <w:p>
      <w:pPr>
        <w:spacing w:line="240" w:lineRule="auto" w:before="120" w:after="120"/>
        <w:ind w:left="0"/>
        <w:jc w:val="left"/>
      </w:pPr>
      <w:r>
        <w:rPr>
          <w:rFonts w:eastAsia="宋体" w:ascii="Times New Roman" w:hAnsi="Times New Roman" w:cs="Times New Roman"/>
          <w:b w:val="false"/>
          <w:i w:val="false"/>
          <w:sz w:val="22"/>
        </w:rPr>
        <w:t xml:space="preserve">[2] “《面向行业的云+AI应用研究报告》-AI行业云平台助力行业大模型应用落地”正式发布！_澎湃号·政务_澎湃新闻-The Paper | 2026-01-19 16:18:00 | (https://www.thepaper.cn/newsDetail_forward_32422105) </w:t>
      </w:r>
    </w:p>
    <w:p>
      <w:pPr>
        <w:spacing w:line="240" w:lineRule="auto" w:before="120" w:after="120"/>
        <w:ind w:left="0"/>
        <w:jc w:val="left"/>
      </w:pPr>
      <w:r>
        <w:rPr>
          <w:rFonts w:eastAsia="宋体" w:ascii="Times New Roman" w:hAnsi="Times New Roman" w:cs="Times New Roman"/>
          <w:b w:val="false"/>
          <w:i w:val="false"/>
          <w:sz w:val="22"/>
        </w:rPr>
        <w:t xml:space="preserve">[3] 最新研究报告：中国AI企业加速构建商业闭环，AI+农业等领域已实现全球领先|界面新闻 | 2026-04-03 00:00:00 | (https://www.jiemian.com/article/14206964.html) </w:t>
      </w:r>
    </w:p>
    <w:p>
      <w:pPr>
        <w:spacing w:line="240" w:lineRule="auto" w:before="120" w:after="120"/>
        <w:ind w:left="0"/>
        <w:jc w:val="left"/>
      </w:pPr>
      <w:r>
        <w:rPr>
          <w:rFonts w:eastAsia="宋体" w:ascii="Times New Roman" w:hAnsi="Times New Roman" w:cs="Times New Roman"/>
          <w:b w:val="false"/>
          <w:i w:val="false"/>
          <w:sz w:val="22"/>
        </w:rPr>
        <w:t xml:space="preserve">[4] 软通动力2025年AI营收占比达52.6% 率先完成DeepSeek-V4全栈适配 | 2026-04-28 20:19:00 </w:t>
      </w:r>
    </w:p>
    <w:p>
      <w:pPr>
        <w:spacing w:line="240" w:lineRule="auto" w:before="120" w:after="120"/>
        <w:ind w:left="0"/>
        <w:jc w:val="left"/>
      </w:pPr>
      <w:r>
        <w:rPr>
          <w:rFonts w:eastAsia="宋体" w:ascii="Times New Roman" w:hAnsi="Times New Roman" w:cs="Times New Roman"/>
          <w:b w:val="false"/>
          <w:i w:val="false"/>
          <w:sz w:val="22"/>
        </w:rPr>
        <w:t xml:space="preserve">[5] AI赋能千行百业一线观察｜AI深度渗透美妆产业链 驱动行业智能变革 -新华网 | 2026-04-27 10:02:06 | (http://www.news.cn/fashion/20260427/ddba9be826fe4ced9d68fb506d389259/c.html) </w:t>
      </w:r>
    </w:p>
    <w:p>
      <w:pPr>
        <w:spacing w:line="240" w:lineRule="auto" w:before="120" w:after="120"/>
        <w:ind w:left="0"/>
        <w:jc w:val="left"/>
      </w:pPr>
      <w:r>
        <w:rPr>
          <w:rFonts w:eastAsia="宋体" w:ascii="Times New Roman" w:hAnsi="Times New Roman" w:cs="Times New Roman"/>
          <w:b w:val="false"/>
          <w:i w:val="false"/>
          <w:sz w:val="22"/>
        </w:rPr>
        <w:t xml:space="preserve">[6] 2024至2025的宏观数据（年） </w:t>
      </w:r>
    </w:p>
    <w:p>
      <w:pPr>
        <w:spacing w:line="240" w:lineRule="auto" w:before="120" w:after="120"/>
        <w:ind w:left="0"/>
        <w:jc w:val="left"/>
      </w:pPr>
      <w:r>
        <w:rPr>
          <w:rFonts w:eastAsia="宋体" w:ascii="Times New Roman" w:hAnsi="Times New Roman" w:cs="Times New Roman"/>
          <w:b w:val="false"/>
          <w:i w:val="false"/>
          <w:sz w:val="22"/>
        </w:rPr>
        <w:t xml:space="preserve">[7] 2026 AI agent行业发展研究报告 | 2026-01-22 17:58:00 | (https://mp.weixin.qq.com/s/OH-A1TKipmowqYnfalA0xA) </w:t>
      </w:r>
    </w:p>
    <w:p>
      <w:pPr>
        <w:spacing w:line="240" w:lineRule="auto" w:before="120" w:after="120"/>
        <w:ind w:left="0"/>
        <w:jc w:val="left"/>
      </w:pPr>
      <w:r>
        <w:rPr>
          <w:rFonts w:eastAsia="宋体" w:ascii="Times New Roman" w:hAnsi="Times New Roman" w:cs="Times New Roman"/>
          <w:b w:val="false"/>
          <w:i w:val="false"/>
          <w:sz w:val="22"/>
        </w:rPr>
        <w:t xml:space="preserve">[8] AI编程行业深度研究报告：从代码补全到智能体（Agent）时代 | 2026-04-20 22:04:12 </w:t>
      </w:r>
    </w:p>
    <w:p>
      <w:pPr>
        <w:spacing w:line="240" w:lineRule="auto" w:before="120" w:after="120"/>
        <w:ind w:left="0"/>
        <w:jc w:val="left"/>
      </w:pPr>
      <w:r>
        <w:rPr>
          <w:rFonts w:eastAsia="宋体" w:ascii="Times New Roman" w:hAnsi="Times New Roman" w:cs="Times New Roman"/>
          <w:b w:val="false"/>
          <w:i w:val="false"/>
          <w:sz w:val="22"/>
        </w:rPr>
        <w:t xml:space="preserve">[9] AI数据需求爆发叠加词元经济转型 德银上调迅策评级 | 2026-04-28 20:06:00 </w:t>
      </w:r>
    </w:p>
    <w:p>
      <w:pPr>
        <w:spacing w:line="240" w:lineRule="auto" w:before="120" w:after="120"/>
        <w:ind w:left="0"/>
        <w:jc w:val="left"/>
      </w:pPr>
      <w:r>
        <w:rPr>
          <w:rFonts w:eastAsia="宋体" w:ascii="Times New Roman" w:hAnsi="Times New Roman" w:cs="Times New Roman"/>
          <w:b w:val="false"/>
          <w:i w:val="false"/>
          <w:sz w:val="22"/>
        </w:rPr>
        <w:t xml:space="preserve">[10] 申通快递：AI在快递行业的发展存在三个阶段 | 2026-04-28 21:33:00 </w:t>
      </w:r>
    </w:p>
    <w:p>
      <w:pPr>
        <w:spacing w:line="240" w:lineRule="auto" w:before="120" w:after="120"/>
        <w:ind w:left="0"/>
        <w:jc w:val="left"/>
      </w:pPr>
      <w:r>
        <w:rPr>
          <w:rFonts w:eastAsia="宋体" w:ascii="Times New Roman" w:hAnsi="Times New Roman" w:cs="Times New Roman"/>
          <w:b w:val="false"/>
          <w:i w:val="false"/>
          <w:sz w:val="22"/>
        </w:rPr>
        <w:t xml:space="preserve">[11] 拒绝“烧钱”叙事，T3出行递表港交所，用AI重构智慧出行 | 2026-04-28 11:08:07 | (https://toutiao.com/group/7633640985863504394/) </w:t>
      </w:r>
    </w:p>
    <w:p>
      <w:pPr>
        <w:spacing w:line="240" w:lineRule="auto" w:before="120" w:after="120"/>
        <w:ind w:left="0"/>
        <w:jc w:val="left"/>
      </w:pPr>
      <w:r>
        <w:rPr>
          <w:rFonts w:eastAsia="宋体" w:ascii="Times New Roman" w:hAnsi="Times New Roman" w:cs="Times New Roman"/>
          <w:b w:val="false"/>
          <w:i w:val="false"/>
          <w:sz w:val="22"/>
        </w:rPr>
        <w:t xml:space="preserve">[12] 超六成职场人用AI制作PPT，千问等AI工具最受青睐 | 2026-04-24 21:05:00 </w:t>
      </w:r>
    </w:p>
    <w:p>
      <w:pPr>
        <w:spacing w:line="240" w:lineRule="auto" w:before="120" w:after="120"/>
        <w:ind w:left="0"/>
        <w:jc w:val="left"/>
      </w:pPr>
      <w:r>
        <w:rPr>
          <w:rFonts w:eastAsia="宋体" w:ascii="Times New Roman" w:hAnsi="Times New Roman" w:cs="Times New Roman"/>
          <w:b w:val="false"/>
          <w:i w:val="false"/>
          <w:sz w:val="22"/>
        </w:rPr>
        <w:t xml:space="preserve">[13] 硅谷频现AI工具限流举措，AI行业转向“效率优先”新阶段-财经-金融界 | 2026-03-28 13:59:26 | (https://finance.jrj.com.cn/2026/03/28135956519986.shtml) </w:t>
      </w:r>
    </w:p>
    <w:p>
      <w:pPr>
        <w:spacing w:line="240" w:lineRule="auto" w:before="120" w:after="120"/>
        <w:ind w:left="0"/>
        <w:jc w:val="left"/>
      </w:pPr>
      <w:r>
        <w:rPr>
          <w:rFonts w:eastAsia="宋体" w:ascii="Times New Roman" w:hAnsi="Times New Roman" w:cs="Times New Roman"/>
          <w:b w:val="false"/>
          <w:i w:val="false"/>
          <w:sz w:val="22"/>
        </w:rPr>
        <w:t xml:space="preserve">[14] 人工智能行业双向赋能：AI与游戏的协同进化 | 2026-04-28 08:28:59 </w:t>
      </w:r>
    </w:p>
    <w:p>
      <w:pPr>
        <w:spacing w:line="240" w:lineRule="auto" w:before="120" w:after="120"/>
        <w:ind w:left="0"/>
        <w:jc w:val="left"/>
      </w:pPr>
      <w:r>
        <w:rPr>
          <w:rFonts w:eastAsia="宋体" w:ascii="Times New Roman" w:hAnsi="Times New Roman" w:cs="Times New Roman"/>
          <w:b w:val="false"/>
          <w:i w:val="false"/>
          <w:sz w:val="22"/>
        </w:rPr>
        <w:t xml:space="preserve">[15] AI赋能深化推进 | 2026-04-28 15:13:49 </w:t>
      </w:r>
    </w:p>
    <w:p>
      <w:pPr>
        <w:spacing w:line="240" w:lineRule="auto" w:before="120" w:after="120"/>
        <w:ind w:left="0"/>
        <w:jc w:val="left"/>
      </w:pPr>
      <w:r>
        <w:rPr>
          <w:rFonts w:eastAsia="宋体" w:ascii="Times New Roman" w:hAnsi="Times New Roman" w:cs="Times New Roman"/>
          <w:b w:val="false"/>
          <w:i w:val="false"/>
          <w:sz w:val="22"/>
        </w:rPr>
        <w:t xml:space="preserve">[16] 【东吴晨报0428】【宏观】【策略】【个股】长川科技、三星电气、方盛制药、沪光股份、金科环境、应流股份 | 2026-04-28 09:01:03 </w:t>
      </w:r>
    </w:p>
    <w:p>
      <w:pPr>
        <w:spacing w:line="240" w:lineRule="auto" w:before="120" w:after="120"/>
        <w:ind w:left="0"/>
        <w:jc w:val="left"/>
      </w:pPr>
      <w:r>
        <w:rPr>
          <w:rFonts w:eastAsia="宋体" w:ascii="Times New Roman" w:hAnsi="Times New Roman" w:cs="Times New Roman"/>
          <w:b w:val="false"/>
          <w:i w:val="false"/>
          <w:sz w:val="22"/>
        </w:rPr>
        <w:t xml:space="preserve">[17] 聚焦“AI+能源”，朗新科技以AI链接能源算力与低碳未来 | 2026-02-04 00:00:00 | (https://www.longshine.com/newsInfo/1144) </w:t>
      </w:r>
    </w:p>
    <w:p>
      <w:pPr>
        <w:spacing w:line="240" w:lineRule="auto" w:before="120" w:after="120"/>
        <w:ind w:left="0"/>
        <w:jc w:val="left"/>
      </w:pPr>
      <w:r>
        <w:rPr>
          <w:rFonts w:eastAsia="宋体" w:ascii="Times New Roman" w:hAnsi="Times New Roman" w:cs="Times New Roman"/>
          <w:b w:val="false"/>
          <w:i w:val="false"/>
          <w:sz w:val="22"/>
        </w:rPr>
        <w:t xml:space="preserve">[18] 国防军工行业深度报告：分布式电厂成AI时代新基建，国产航改、船改、柴改燃迎出海良机 | 2026-04-27 10:37:13 </w:t>
      </w:r>
    </w:p>
    <w:p>
      <w:pPr>
        <w:spacing w:line="240" w:lineRule="auto" w:before="120" w:after="120"/>
        <w:ind w:left="0"/>
        <w:jc w:val="left"/>
      </w:pPr>
      <w:r>
        <w:rPr>
          <w:rFonts w:eastAsia="宋体" w:ascii="Times New Roman" w:hAnsi="Times New Roman" w:cs="Times New Roman"/>
          <w:b w:val="false"/>
          <w:i w:val="false"/>
          <w:sz w:val="22"/>
        </w:rPr>
        <w:t xml:space="preserve">[19] 机械行业月报：行业催化不断，继续聚焦算力基础设施和具身智能产业龙头 | 2026-04-28 17:30:16 </w:t>
      </w:r>
    </w:p>
    <w:p>
      <w:pPr>
        <w:spacing w:line="240" w:lineRule="auto" w:before="120" w:after="120"/>
        <w:ind w:left="0"/>
        <w:jc w:val="left"/>
      </w:pPr>
      <w:r>
        <w:rPr>
          <w:rFonts w:eastAsia="宋体" w:ascii="Times New Roman" w:hAnsi="Times New Roman" w:cs="Times New Roman"/>
          <w:b w:val="false"/>
          <w:i w:val="false"/>
          <w:sz w:val="22"/>
        </w:rPr>
        <w:t xml:space="preserve">[20] 电子行业深度分析：乘AI东风，碳化硅行业迎新催化 | 2026-04-26 22:13:59 </w:t>
      </w:r>
    </w:p>
    <w:p>
      <w:pPr>
        <w:spacing w:line="240" w:lineRule="auto" w:before="120" w:after="120"/>
        <w:ind w:left="0"/>
        <w:jc w:val="left"/>
      </w:pPr>
      <w:r>
        <w:rPr>
          <w:rFonts w:eastAsia="宋体" w:ascii="Times New Roman" w:hAnsi="Times New Roman" w:cs="Times New Roman"/>
          <w:b w:val="false"/>
          <w:i w:val="false"/>
          <w:sz w:val="22"/>
        </w:rPr>
        <w:t xml:space="preserve">[21] 上海交大安泰发布《2026年“人工智能+”行业发展蓝皮书》_光明网 | 2026-04-24 05:52:00 | (https://difang.gmw.cn/sh/2026-04/24/content_38728423.htm) </w:t>
      </w:r>
    </w:p>
    <w:p>
      <w:pPr>
        <w:spacing w:line="240" w:lineRule="auto" w:before="120" w:after="120"/>
        <w:ind w:left="0"/>
        <w:jc w:val="left"/>
      </w:pPr>
      <w:r>
        <w:rPr>
          <w:rFonts w:eastAsia="宋体" w:ascii="Times New Roman" w:hAnsi="Times New Roman" w:cs="Times New Roman"/>
          <w:b w:val="false"/>
          <w:i w:val="false"/>
          <w:sz w:val="22"/>
        </w:rPr>
        <w:t xml:space="preserve">[22] AI独角兽，直面全新KPI | AI进化论 | 2026-04-28 18:08:00 | (https://mp.weixin.qq.com/s/4FvhffTWi1Laj7dpao4GXg) </w:t>
      </w:r>
    </w:p>
    <w:p>
      <w:pPr>
        <w:spacing w:line="240" w:lineRule="auto" w:before="120" w:after="120"/>
        <w:ind w:left="0"/>
        <w:jc w:val="left"/>
      </w:pPr>
      <w:r>
        <w:rPr>
          <w:rFonts w:eastAsia="宋体" w:ascii="Times New Roman" w:hAnsi="Times New Roman" w:cs="Times New Roman"/>
          <w:b w:val="false"/>
          <w:i w:val="false"/>
          <w:sz w:val="22"/>
        </w:rPr>
        <w:t xml:space="preserve">[23] AI独角兽生态：爆发增长下商业模式待考 未来竞争格局或重塑 | 2026-04-09 12:59:01 | (https://m.finance.itbear.com.cn/html/2026-04/370647.html) </w:t>
      </w:r>
    </w:p>
    <w:p>
      <w:pPr>
        <w:spacing w:line="240" w:lineRule="auto" w:before="120" w:after="120"/>
        <w:ind w:left="0"/>
        <w:jc w:val="left"/>
      </w:pPr>
      <w:r>
        <w:rPr>
          <w:rFonts w:eastAsia="宋体" w:ascii="Times New Roman" w:hAnsi="Times New Roman" w:cs="Times New Roman"/>
          <w:b w:val="false"/>
          <w:i w:val="false"/>
          <w:sz w:val="22"/>
        </w:rPr>
        <w:t xml:space="preserve">[24] 计算机行业动态报告：“龙虾”深度：Token“通胀”谁受益？一“芯”二“模”三“云” | 2026-04-09 19:00:36 </w:t>
      </w:r>
    </w:p>
    <w:p>
      <w:pPr>
        <w:spacing w:line="240" w:lineRule="auto" w:before="120" w:after="120"/>
        <w:ind w:left="0"/>
        <w:jc w:val="left"/>
      </w:pPr>
      <w:r>
        <w:rPr>
          <w:rFonts w:eastAsia="宋体" w:ascii="Times New Roman" w:hAnsi="Times New Roman" w:cs="Times New Roman"/>
          <w:b w:val="false"/>
          <w:i w:val="false"/>
          <w:sz w:val="22"/>
        </w:rPr>
        <w:t xml:space="preserve">[25] AI平台快速增长，API付费商业模式转型，业绩逐步释放 | 2026-04-16 14:08:21 </w:t>
      </w:r>
    </w:p>
    <w:p>
      <w:pPr>
        <w:spacing w:line="240" w:lineRule="auto" w:before="120" w:after="120"/>
        <w:ind w:left="0"/>
        <w:jc w:val="left"/>
      </w:pPr>
      <w:r>
        <w:rPr>
          <w:rFonts w:eastAsia="宋体" w:ascii="Times New Roman" w:hAnsi="Times New Roman" w:cs="Times New Roman"/>
          <w:b w:val="false"/>
          <w:i w:val="false"/>
          <w:sz w:val="22"/>
        </w:rPr>
        <w:t xml:space="preserve">[26] 瑞泊研究《2026年斯坦福 AI 指数报告AI Index 2026》深度解读 | 2026-04-24 20:27:13 | (https://m.163.com/dy/article/KRABL5UA05535KH7.html) </w:t>
      </w:r>
    </w:p>
    <w:p>
      <w:pPr>
        <w:spacing w:line="240" w:lineRule="auto" w:before="120" w:after="120"/>
        <w:ind w:left="0"/>
        <w:jc w:val="left"/>
      </w:pPr>
      <w:r>
        <w:rPr>
          <w:rFonts w:eastAsia="宋体" w:ascii="Times New Roman" w:hAnsi="Times New Roman" w:cs="Times New Roman"/>
          <w:b w:val="false"/>
          <w:i w:val="false"/>
          <w:sz w:val="22"/>
        </w:rPr>
        <w:t xml:space="preserve">[27] 智谱深度报告：全栈自研GLM大模型，引领B端AI规模化落地 | 2026-04-08 15:18:36 </w:t>
      </w:r>
    </w:p>
    <w:p>
      <w:pPr>
        <w:spacing w:line="240" w:lineRule="auto" w:before="120" w:after="120"/>
        <w:ind w:left="0"/>
        <w:jc w:val="left"/>
      </w:pPr>
      <w:r>
        <w:rPr>
          <w:rFonts w:eastAsia="宋体" w:ascii="Times New Roman" w:hAnsi="Times New Roman" w:cs="Times New Roman"/>
          <w:b w:val="false"/>
          <w:i w:val="false"/>
          <w:sz w:val="22"/>
        </w:rPr>
        <w:t xml:space="preserve">[28] 大模型如何“变现”？零犀科技给出答案：以因果AI构建可闭环执行的数字劳动力|界面新闻 | 2026-04-15 16:52:00 | (https://www.jiemian.com/article/14256076.html) </w:t>
      </w:r>
    </w:p>
    <w:p>
      <w:pPr>
        <w:spacing w:line="240" w:lineRule="auto" w:before="120" w:after="120"/>
        <w:ind w:left="0"/>
        <w:jc w:val="left"/>
      </w:pPr>
      <w:r>
        <w:rPr>
          <w:rFonts w:eastAsia="宋体" w:ascii="Times New Roman" w:hAnsi="Times New Roman" w:cs="Times New Roman"/>
          <w:b w:val="false"/>
          <w:i w:val="false"/>
          <w:sz w:val="22"/>
        </w:rPr>
        <w:t xml:space="preserve">[29] 零犀科技：结果数据+业务Know-how+迭代速度，三层壁垒构建垂直领域大模型的护城河_销售_智能_行业 | 2026-04-27 11:49:00 | (https://www.sohu.com/a/1015108682_376637) </w:t>
      </w:r>
    </w:p>
    <w:p>
      <w:pPr>
        <w:spacing w:line="240" w:lineRule="auto" w:before="120" w:after="120"/>
        <w:ind w:left="0"/>
        <w:jc w:val="left"/>
      </w:pPr>
      <w:r>
        <w:rPr>
          <w:rFonts w:eastAsia="宋体" w:ascii="Times New Roman" w:hAnsi="Times New Roman" w:cs="Times New Roman"/>
          <w:b w:val="false"/>
          <w:i w:val="false"/>
          <w:sz w:val="22"/>
        </w:rPr>
        <w:t xml:space="preserve">[30] 中信建投:新范式下,AI投资如何选? | 2026-03-03 11:03:08 </w:t>
      </w:r>
    </w:p>
    <w:p>
      <w:pPr>
        <w:spacing w:line="240" w:lineRule="auto" w:before="120" w:after="120"/>
        <w:ind w:left="0"/>
        <w:jc w:val="left"/>
      </w:pPr>
      <w:r>
        <w:rPr>
          <w:rFonts w:eastAsia="宋体" w:ascii="Times New Roman" w:hAnsi="Times New Roman" w:cs="Times New Roman"/>
          <w:b w:val="false"/>
          <w:i w:val="false"/>
          <w:sz w:val="22"/>
        </w:rPr>
        <w:t xml:space="preserve">[31] 全球AI系列报告：双极进化与算力重构：2026AI行业深度展望（国内篇） | 2026-02-05 16:50:07 </w:t>
      </w:r>
    </w:p>
    <w:p>
      <w:pPr>
        <w:spacing w:line="240" w:lineRule="auto" w:before="120" w:after="120"/>
        <w:ind w:left="0"/>
        <w:jc w:val="left"/>
      </w:pPr>
      <w:r>
        <w:rPr>
          <w:rFonts w:eastAsia="宋体" w:ascii="Times New Roman" w:hAnsi="Times New Roman" w:cs="Times New Roman"/>
          <w:b w:val="false"/>
          <w:i w:val="false"/>
          <w:sz w:val="22"/>
        </w:rPr>
        <w:t xml:space="preserve">[32] 【“三新经济”产业研究系列】深度研报：通用人工智能（AGI）的商业本质与产业重构 | 2026-04-13 14:53:00 | (https://mp.weixin.qq.com/s/YGFSPQ3pWwJrYqzdO-JY4g) </w:t>
      </w:r>
    </w:p>
    <w:p>
      <w:pPr>
        <w:spacing w:line="240" w:lineRule="auto" w:before="120" w:after="120"/>
        <w:ind w:left="0"/>
        <w:jc w:val="left"/>
      </w:pPr>
      <w:r>
        <w:rPr>
          <w:rFonts w:eastAsia="宋体" w:ascii="Times New Roman" w:hAnsi="Times New Roman" w:cs="Times New Roman"/>
          <w:b w:val="false"/>
          <w:i w:val="false"/>
          <w:sz w:val="22"/>
        </w:rPr>
        <w:t xml:space="preserve">[33] 【CGS-NDI跟踪】政策密集落地,数据要素开启“十五五”发展新周期—— 数字经济周报(2026年第6期) | 2026-03-18 08:12:08 </w:t>
      </w:r>
    </w:p>
    <w:p>
      <w:pPr>
        <w:spacing w:line="240" w:lineRule="auto" w:before="120" w:after="120"/>
        <w:ind w:left="0"/>
        <w:jc w:val="left"/>
      </w:pPr>
      <w:r>
        <w:rPr>
          <w:rFonts w:eastAsia="宋体" w:ascii="Times New Roman" w:hAnsi="Times New Roman" w:cs="Times New Roman"/>
          <w:b w:val="false"/>
          <w:i w:val="false"/>
          <w:sz w:val="22"/>
        </w:rPr>
        <w:t xml:space="preserve">[34] 中国证券报-苏州工业园区凌志软件股份有限公司 | 2026-04-29 00:00:00 | (https://epaper.cs.com.cn/zgzqb/html/2026-04/29/nw.D110000zgzqb_20260429_1-B233.htm) </w:t>
      </w:r>
    </w:p>
    <w:p>
      <w:pPr>
        <w:spacing w:line="240" w:lineRule="auto" w:before="120" w:after="120"/>
        <w:ind w:left="0"/>
        <w:jc w:val="left"/>
      </w:pPr>
      <w:r>
        <w:rPr>
          <w:rFonts w:eastAsia="宋体" w:ascii="Times New Roman" w:hAnsi="Times New Roman" w:cs="Times New Roman"/>
          <w:b w:val="false"/>
          <w:i w:val="false"/>
          <w:sz w:val="22"/>
        </w:rPr>
        <w:t xml:space="preserve">[35] 天融信亮相CHIMA 2026，助力医疗行业AI快速、安全落地 | 2026-04-27 18:52:00 | (https://mp.weixin.qq.com/s/Vls68Zdks-iiAx7EFmpK8w) </w:t>
      </w:r>
    </w:p>
    <w:p>
      <w:pPr>
        <w:spacing w:line="240" w:lineRule="auto" w:before="120" w:after="120"/>
        <w:ind w:left="0"/>
        <w:jc w:val="left"/>
      </w:pPr>
      <w:r>
        <w:rPr>
          <w:rFonts w:eastAsia="宋体" w:ascii="Times New Roman" w:hAnsi="Times New Roman" w:cs="Times New Roman"/>
          <w:b w:val="false"/>
          <w:i w:val="false"/>
          <w:sz w:val="22"/>
        </w:rPr>
        <w:t xml:space="preserve">[36] 【策略*陈刚】OpenAI发布GPT-5.5 | 2026-04-28 09:26:19 </w:t>
      </w:r>
    </w:p>
    <w:p>
      <w:pPr>
        <w:spacing w:line="240" w:lineRule="auto" w:before="120" w:after="120"/>
        <w:ind w:left="0"/>
        <w:jc w:val="left"/>
      </w:pPr>
      <w:r>
        <w:rPr>
          <w:rFonts w:eastAsia="宋体" w:ascii="Times New Roman" w:hAnsi="Times New Roman" w:cs="Times New Roman"/>
          <w:b w:val="false"/>
          <w:i w:val="false"/>
          <w:sz w:val="22"/>
        </w:rPr>
        <w:t xml:space="preserve">[37] 人工智能成“战略引擎” 银行AI人才争夺战白热化 | 2026-04-25 02:43:08 </w:t>
      </w:r>
    </w:p>
    <w:p>
      <w:pPr>
        <w:spacing w:line="240" w:lineRule="auto" w:before="120" w:after="120"/>
        <w:ind w:left="0"/>
        <w:jc w:val="left"/>
      </w:pPr>
      <w:r>
        <w:rPr>
          <w:rFonts w:eastAsia="宋体" w:ascii="Times New Roman" w:hAnsi="Times New Roman" w:cs="Times New Roman"/>
          <w:b w:val="false"/>
          <w:i w:val="false"/>
          <w:sz w:val="22"/>
        </w:rPr>
        <w:t xml:space="preserve">[38] 金融科技行业双周报第二十七期：银行行业级大模型落地，金融营销办法出台 | 2026-04-28 16:41:20 </w:t>
      </w:r>
    </w:p>
    <w:p>
      <w:pPr>
        <w:spacing w:line="240" w:lineRule="auto" w:before="120" w:after="120"/>
        <w:ind w:left="0"/>
        <w:jc w:val="left"/>
      </w:pPr>
      <w:r>
        <w:rPr>
          <w:rFonts w:eastAsia="宋体" w:ascii="Times New Roman" w:hAnsi="Times New Roman" w:cs="Times New Roman"/>
          <w:b w:val="false"/>
          <w:i w:val="false"/>
          <w:sz w:val="22"/>
        </w:rPr>
        <w:t xml:space="preserve">[39] 公司事件点评报告：AI业务加速崛起，工业智能深度落地 | 2026-04-28 08:34:09 </w:t>
      </w:r>
    </w:p>
    <w:p>
      <w:pPr>
        <w:spacing w:line="240" w:lineRule="auto" w:before="120" w:after="120"/>
        <w:ind w:left="0"/>
        <w:jc w:val="left"/>
      </w:pPr>
      <w:r>
        <w:rPr>
          <w:rFonts w:eastAsia="宋体" w:ascii="Times New Roman" w:hAnsi="Times New Roman" w:cs="Times New Roman"/>
          <w:b w:val="false"/>
          <w:i w:val="false"/>
          <w:sz w:val="22"/>
        </w:rPr>
        <w:t xml:space="preserve">[40] 工业人工智能创新论坛举行 业界共话AI+工业未来 | 2026-04-28 22:43:00 | (https://china.qianlong.com/2026/0428/8661554.shtml) </w:t>
      </w:r>
    </w:p>
    <w:p>
      <w:pPr>
        <w:spacing w:line="240" w:lineRule="auto" w:before="120" w:after="120"/>
        <w:ind w:left="0"/>
        <w:jc w:val="left"/>
      </w:pPr>
      <w:r>
        <w:rPr>
          <w:rFonts w:eastAsia="宋体" w:ascii="Times New Roman" w:hAnsi="Times New Roman" w:cs="Times New Roman"/>
          <w:b w:val="false"/>
          <w:i w:val="false"/>
          <w:sz w:val="22"/>
        </w:rPr>
        <w:t xml:space="preserve">[41] AI产业链公司业绩亮眼    -中国金融新闻网 | 2026-04-22 00:00:00 | (http://www.financialnews.com.cn/2026-04/22/content_447706.html) </w:t>
      </w:r>
    </w:p>
    <w:p>
      <w:pPr>
        <w:spacing w:line="240" w:lineRule="auto" w:before="120" w:after="120"/>
        <w:ind w:left="0"/>
        <w:jc w:val="left"/>
      </w:pPr>
      <w:r>
        <w:rPr>
          <w:rFonts w:eastAsia="宋体" w:ascii="Times New Roman" w:hAnsi="Times New Roman" w:cs="Times New Roman"/>
          <w:b w:val="false"/>
          <w:i w:val="false"/>
          <w:sz w:val="22"/>
        </w:rPr>
        <w:t xml:space="preserve">[42] 互联网企业年报密集发布—— AI成驱动业绩增长关键动力 | 2026-04-14 12:31:00 | (https://www.xiancn.com/content/2026-04/14/content_7392327.htm) </w:t>
      </w:r>
    </w:p>
    <w:p>
      <w:pPr>
        <w:spacing w:line="240" w:lineRule="auto" w:before="120" w:after="120"/>
        <w:ind w:left="0"/>
        <w:jc w:val="left"/>
      </w:pPr>
      <w:r>
        <w:rPr>
          <w:rFonts w:eastAsia="宋体" w:ascii="Times New Roman" w:hAnsi="Times New Roman" w:cs="Times New Roman"/>
          <w:b w:val="false"/>
          <w:i w:val="false"/>
          <w:sz w:val="22"/>
        </w:rPr>
        <w:t xml:space="preserve">[43] 产业资本协同发力 “AI+汽车”加速驶向商业落地快车道 | 2026-04-26 23:47:00 | (http://www.zqrb.cn/auto/qichedongtai/2026-04-26/A1777048946014.html) </w:t>
      </w:r>
    </w:p>
    <w:p>
      <w:pPr>
        <w:spacing w:line="240" w:lineRule="auto" w:before="120" w:after="120"/>
        <w:ind w:left="0"/>
        <w:jc w:val="left"/>
      </w:pPr>
      <w:r>
        <w:rPr>
          <w:rFonts w:eastAsia="宋体" w:ascii="Times New Roman" w:hAnsi="Times New Roman" w:cs="Times New Roman"/>
          <w:b w:val="false"/>
          <w:i w:val="false"/>
          <w:sz w:val="22"/>
        </w:rPr>
        <w:t xml:space="preserve">[44] 业务结构优化，AI专注垂类赋能提效 | 2026-04-07 10:56:20 </w:t>
      </w:r>
    </w:p>
    <w:p>
      <w:pPr>
        <w:spacing w:line="240" w:lineRule="auto" w:before="120" w:after="120"/>
        <w:ind w:left="0"/>
        <w:jc w:val="left"/>
      </w:pPr>
      <w:r>
        <w:rPr>
          <w:rFonts w:eastAsia="宋体" w:ascii="Times New Roman" w:hAnsi="Times New Roman" w:cs="Times New Roman"/>
          <w:b w:val="false"/>
          <w:i w:val="false"/>
          <w:sz w:val="22"/>
        </w:rPr>
        <w:t xml:space="preserve">[45] 业绩稳步修复，看好AI商业化提速 | 2026-04-26 12:45:12 </w:t>
      </w:r>
    </w:p>
    <w:p>
      <w:pPr>
        <w:spacing w:line="240" w:lineRule="auto" w:before="120" w:after="120"/>
        <w:ind w:left="0"/>
        <w:jc w:val="left"/>
      </w:pPr>
      <w:r>
        <w:rPr>
          <w:rFonts w:eastAsia="宋体" w:ascii="Times New Roman" w:hAnsi="Times New Roman" w:cs="Times New Roman"/>
          <w:b w:val="false"/>
          <w:i w:val="false"/>
          <w:sz w:val="22"/>
        </w:rPr>
        <w:t xml:space="preserve">[46] 受益AI算力需求攀升 半导体行业盈利显著修复 | 2026-02-05 02:50:23 </w:t>
      </w:r>
    </w:p>
    <w:p>
      <w:pPr>
        <w:spacing w:line="240" w:lineRule="auto" w:before="120" w:after="120"/>
        <w:ind w:left="0"/>
        <w:jc w:val="left"/>
      </w:pPr>
      <w:r>
        <w:rPr>
          <w:rFonts w:eastAsia="宋体" w:ascii="Times New Roman" w:hAnsi="Times New Roman" w:cs="Times New Roman"/>
          <w:b w:val="false"/>
          <w:i w:val="false"/>
          <w:sz w:val="22"/>
        </w:rPr>
        <w:t xml:space="preserve">[47] 《AI重塑网络安全：网络安全智能化产品与市场报告》：从安全助手到安全智能体：能力边界、应用路径与代表厂商 | 2026-04-28 08:25:29 </w:t>
      </w:r>
    </w:p>
    <w:p>
      <w:pPr>
        <w:spacing w:line="240" w:lineRule="auto" w:before="120" w:after="120"/>
        <w:ind w:left="0"/>
        <w:jc w:val="left"/>
      </w:pPr>
      <w:r>
        <w:rPr>
          <w:rFonts w:eastAsia="宋体" w:ascii="Times New Roman" w:hAnsi="Times New Roman" w:cs="Times New Roman"/>
          <w:b w:val="false"/>
          <w:i w:val="false"/>
          <w:sz w:val="22"/>
        </w:rPr>
        <w:t xml:space="preserve">[48] 2026年核心技能全景图：在AI驱动时代，如何构建你的未来竞争力-阿里云开发者社区 | 2026-04-27 00:00:00 | (https://developer.aliyun.com/article/1731290) </w:t>
      </w:r>
    </w:p>
    <w:sectPr>
      <w:footerReference w:type="default" r:id="rId3"/>
    </w:sectPr>
  </w:body>
</w:document>
</file>

<file path=word/footer1.xml><?xml version="1.0" encoding="utf-8"?>
<w:ftr xmlns:w="http://schemas.openxmlformats.org/wordprocessingml/2006/main">
  <w:p>
    <w:pPr>
      <w:jc w:val="center"/>
    </w:pPr>
  </w:p>
  <w:p>
    <w:pPr>
      <w:pBdr>
        <w:bottom w:val="thick"/>
      </w:pBdr>
      <w:spacing w:after="200"/>
    </w:pPr>
  </w:p>
  <w:p>
    <w:pPr>
      <w:jc w:val="center"/>
    </w:pPr>
    <w:r>
      <w:t>文件由【AI研究员】模块自动生成，更详细的信息请登录Choice金融终端</w:t>
    </w:r>
  </w:p>
  <w:p>
    <w:pPr>
      <w:jc w:val="center"/>
    </w:pPr>
    <w:r>
      <w:t>第</w:t>
    </w:r>
    <w:r>
      <w:fldChar w:fldCharType="begin"/>
    </w:r>
    <w:r>
      <w:instrText> PAGE \* MERGEFORMAT </w:instrText>
    </w:r>
    <w:r>
      <w:fldChar w:fldCharType="separate"/>
    </w:r>
    <w:r>
      <w:t>1</w:t>
    </w:r>
    <w:r>
      <w:fldChar w:fldCharType="end"/>
    </w:r>
    <w:r>
      <w:t>页</w:t>
    </w:r>
  </w:p>
</w:ftr>
</file>

<file path=word/numbering.xml><?xml version="1.0" encoding="utf-8"?>
<w:numbering xmlns:w="http://schemas.openxmlformats.org/wordprocessingml/2006/main">
  <w:abstractNum w:abstractNumId="0">
    <w:lvl w:ilvl="0">
      <w:start w:val="1"/>
      <w:numFmt w:val="bullet"/>
      <w:lvlText w:val="•"/>
      <w:lvlJc w:val="left"/>
    </w:lvl>
    <w:lvl w:ilvl="1">
      <w:start w:val="1"/>
      <w:numFmt w:val="bullet"/>
      <w:lvlText w:val="◦"/>
      <w:lvlJc w:val="left"/>
      <w:pPr>
        <w:ind w:left="720"/>
      </w:pPr>
    </w:lvl>
    <w:lvl w:ilvl="2">
      <w:start w:val="2"/>
      <w:numFmt w:val="bullet"/>
      <w:lvlText w:val="▪"/>
      <w:lvlJc w:val="left"/>
      <w:pPr>
        <w:ind w:left="1440"/>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style w:styleId="EM_H1_STYLE" w:type="paragraph">
    <w:name w:val="EM-标题1"/>
    <w:pPr>
      <w:outlineLvl w:val="0"/>
    </w:pPr>
    <w:rPr>
      <w:rFonts w:hAnsi="宋体" w:ascii="宋体"/>
      <w:b w:val="true"/>
      <w:sz w:val="18"/>
      <w:szCs w:val="18"/>
    </w:rPr>
  </w:style>
  <w:style w:styleId="EM_H2_STYLE" w:type="paragraph">
    <w:name w:val="EM-标题2"/>
    <w:pPr>
      <w:outlineLvl w:val="1"/>
    </w:pPr>
    <w:rPr>
      <w:rFonts w:hAnsi="宋体" w:ascii="宋体"/>
      <w:b w:val="true"/>
      <w:sz w:val="14"/>
      <w:szCs w:val="1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2026-04-28T23:25:02Z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001191310000771458474500000","ProduceID":"MTFhZjUwYjMtMWY5My00NTE0LTk0ZDktOWMwODE5NzMyZTU1","ReservedCode1":"{\"SecurityData\":{\"Type\":\"TC260PG\",\"Version\":1,\"Bindings\":[{\"Type\":\"Hash\",\"ID\":\"1\",\"AlgId\":\"1.2.156.10197.1.401\",\"Value\":\"160f2766505444626e7702b533996760c8e76d8846df6e4672988cbf325a2ab3\"}],\"PubSD\":[{\"Type\":\"DS\",\"AlgID\":\"1.2.156.10197.1.501\",\"TBSData\":[{\"Type\":\"Binding\",\"ID\":\"1\"},{\"Type\":\"LabelMetadata\"}],\"Signature\":\"3046022100dfdb06b8473b16e149a9a3568c245ef70896be56a3c30a147d9c94f0c61d441d0221009c799b60d4922d991f60be173cc8dd6a0d891bde6832f0f2e23f2902581a4735\"},{\"Type\":\"PubKey\",\"AlgID\":\"1.2.156.10197.1.501\",\"KeyValue\":\" 04e238309e60cc2884cef29d4dbe30958133b03d21586c6e7d6c01291a78477a8c27e16f8500444db9a3035f8241cd36841a22ffc44216d03ef06c31b75e826c35\"}]}}","ContentPropagator":"001191310000771458474500000","PropagateID":"MTFhZjUwYjMtMWY5My00NTE0LTk0ZDktOWMwODE5NzMyZTU1","ReservedCode2":"{\"SecurityData\":{\"Type\":\"TC260PG\",\"Version\":1,\"Bindings\":[{\"Type\":\"Hash\",\"ID\":\"1\",\"AlgId\":\"1.2.156.10197.1.401\",\"Value\":\"160f2766505444626e7702b533996760c8e76d8846df6e4672988cbf325a2ab3\"}],\"PubSD\":[{\"Type\":\"DS\",\"AlgID\":\"1.2.156.10197.1.501\",\"TBSData\":[{\"Type\":\"Binding\",\"ID\":\"1\"},{\"Type\":\"LabelMetadata\"}],\"Signature\":\"3046022100dfdb06b8473b16e149a9a3568c245ef70896be56a3c30a147d9c94f0c61d441d0221009c799b60d4922d991f60be173cc8dd6a0d891bde6832f0f2e23f2902581a4735\"},{\"Type\":\"PubKey\",\"AlgID\":\"1.2.156.10197.1.501\",\"KeyValue\":\" 04e238309e60cc2884cef29d4dbe30958133b03d21586c6e7d6c01291a78477a8c27e16f8500444db9a3035f8241cd36841a22ffc44216d03ef06c31b75e826c35\"}]}}"}</vt:lpwstr>
  </property>
</Properties>
</file>