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adpis"/>
      </w:pPr>
      <w:r>
        <w:t xml:space="preserve">Psychologie motivace u dítěte, které se učí psát</w:t>
      </w:r>
    </w:p>
    <w:p>
      <w:pPr>
        <w:pStyle w:val="Normal"/>
      </w:pPr>
      <w:r>
        <w:t xml:space="preserve">Co jsem o motivaci dětí našel a jak se to promítlo do programu. Většina rozhodnutí o odměnách, cílech a pochvalách vychází odsud, ne z odhadu.</w:t>
      </w:r>
    </w:p>
    <w:p>
      <w:pPr>
        <w:pStyle w:val="Blok"/>
      </w:pPr>
      <w:r>
        <w:t xml:space="preserve">Proč to vůbec řešit</w:t>
      </w:r>
    </w:p>
    <w:p>
      <w:pPr>
        <w:pStyle w:val="Normal"/>
      </w:pPr>
      <w:r>
        <w:t xml:space="preserve">Psaní všemi deseti je nudná činnost s odloženou odměnou. Prvních pár týdnů je dítě pomalejší než dvěma prsty a nevidí žádný užitek. Právě v takové situaci rozhoduje, jak je práce zarámovaná, a právě tady se dá snadno uškodit.</w:t>
      </w:r>
    </w:p>
    <w:p>
      <w:pPr>
        <w:pStyle w:val="Blok"/>
      </w:pPr>
      <w:r>
        <w:t xml:space="preserve">Odměny a vnitřní motivace</w:t>
      </w:r>
    </w:p>
    <w:p>
      <w:pPr>
        <w:pStyle w:val="Normal"/>
      </w:pPr>
      <w:r>
        <w:t xml:space="preserve">Metaanalýza sto dvaceti osmi pokusů od Deciho, Koestnera a Ryana z roku 1999 našla, že hmatatelné odměny vázané na zapojení, dokončení nebo výkon vnitřní motivaci podrývají. U dětí je ten efekt silnější než u vysokoškoláků. Naopak pozitivní zpětná vazba vnitřní motivaci posiluje, a to jak v tom, co si člověk sám zvolí dělat, tak v tom, jak moc ho to zajímá.</w:t>
      </w:r>
    </w:p>
    <w:p>
      <w:pPr>
        <w:pStyle w:val="Normal"/>
      </w:pPr>
      <w:r>
        <w:t xml:space="preserve">Rozhoduje, jak to příjemce čte. Stejná věc může být informací o vlastní schopnosti, nebo nástrojem, kterým ho někdo řídí. To první pomáhá, to druhé škodí.</w:t>
      </w:r>
    </w:p>
    <w:p>
      <w:pPr>
        <w:pStyle w:val="Normal"/>
      </w:pPr>
      <w:r>
        <w:t xml:space="preserve">K tomu patří overjustification efekt. Odměna slíbená dopředu za činnost, která člověka bavila sama o sobě, zájem o ni snižuje. Stejná odměna daná jako překvapení až po výkonu ten efekt nemá, protože si ji dítě nespojí s důvodem, proč to dělalo. U dětí je podrývání výraznější než u dospělých.</w:t>
      </w:r>
    </w:p>
    <w:p>
      <w:pPr>
        <w:pStyle w:val="Krok"/>
      </w:pPr>
      <w:r>
        <w:t xml:space="preserve">Co z toho v programu je</w:t>
      </w:r>
    </w:p>
    <w:p>
      <w:pPr>
        <w:pStyle w:val="Odrazka"/>
      </w:pPr>
      <w:r>
        <w:t xml:space="preserve">•  Během psaní je obrazovka klidná. Žádné body, žádný odpočet, žádné blikání.</w:t>
      </w:r>
    </w:p>
    <w:p>
      <w:pPr>
        <w:pStyle w:val="Odrazka"/>
      </w:pPr>
      <w:r>
        <w:t xml:space="preserve">•  Obrázek do notýsku přijde až po dokončené lekci a nikde se předem neslibuje.</w:t>
      </w:r>
    </w:p>
    <w:p>
      <w:pPr>
        <w:pStyle w:val="Odrazka"/>
      </w:pPr>
      <w:r>
        <w:t xml:space="preserve">•  Nepřichází pokaždé. Nepravidelnost udrží překvapení, pravidelná odměna by se rychle změnila v očekávaný nárok.</w:t>
      </w:r>
    </w:p>
    <w:p>
      <w:pPr>
        <w:pStyle w:val="Odrazka"/>
      </w:pPr>
      <w:r>
        <w:t xml:space="preserve">•  V notýsku jsou vidět jen získané obrázky. Zamčená políčka by z odměny udělala seznam úkolů, tedy přesně ten předem známý cíl, který škodí.</w:t>
      </w:r>
    </w:p>
    <w:p>
      <w:pPr>
        <w:pStyle w:val="Blok"/>
      </w:pPr>
      <w:r>
        <w:t xml:space="preserve">Cíle</w:t>
      </w:r>
    </w:p>
    <w:p>
      <w:pPr>
        <w:pStyle w:val="Normal"/>
      </w:pPr>
      <w:r>
        <w:t xml:space="preserve">Bandura a Schunk v roce 1981 pracovali se čtyřiceti dětmi ve věku sedmi až deseti let, které měly v počtech velké mezery a nebavily je. Rozdělili je na tři skupiny: blízké dílčí cíle, jeden vzdálený cíl, žádný cíl. Skupina s blízkými cíli postupovala nejrychleji, dosáhla nejlepšího zvládnutí látky, nejvyšší víry ve vlastní schopnosti a nakonec ji počty i nejvíc zajímaly. Vzdálený cíl neměl prokazatelný účinek, dopadl podobně jako žádný cíl.</w:t>
      </w:r>
    </w:p>
    <w:p>
      <w:pPr>
        <w:pStyle w:val="Normal"/>
      </w:pPr>
      <w:r>
        <w:t xml:space="preserve">Podstatný je věk. Šlo o děti sedm až deset let, tedy přesně ten věk, pro který je program napsaný, a o látku, kterou předtím nezvládaly a nebavila je. To je stejná situace jako u psaní všemi deseti. Blízký cíl u nich nefungoval jen o trochu líp, vzdálený cíl nefungoval prakticky vůbec, přestože obě skupiny dostaly úplně stejné materiály a stejný čas.</w:t>
      </w:r>
    </w:p>
    <w:p>
      <w:pPr>
        <w:pStyle w:val="Krok"/>
      </w:pPr>
      <w:r>
        <w:t xml:space="preserve">Co z toho v programu je</w:t>
      </w:r>
    </w:p>
    <w:p>
      <w:pPr>
        <w:pStyle w:val="Odrazka"/>
      </w:pPr>
      <w:r>
        <w:t xml:space="preserve">•  Na úvodní obrazovce má dítě jeden jediný cíl, a to dnešní. Deset minut, nastavitelné rodičem.</w:t>
      </w:r>
    </w:p>
    <w:p>
      <w:pPr>
        <w:pStyle w:val="Odrazka"/>
      </w:pPr>
      <w:r>
        <w:t xml:space="preserve">•  Během lekce program po každém cvičení řekne, kolik jich zbývá a na kolik minut to zhruba je, počítáno podle toho, jak dítě doopravdy píše.</w:t>
      </w:r>
    </w:p>
    <w:p>
      <w:pPr>
        <w:pStyle w:val="Odrazka"/>
      </w:pPr>
      <w:r>
        <w:t xml:space="preserve">•  Denní cíl se dá splnit. Kdyby se cvičení zkracovala, dítě by cíl nesplnilo a muselo by řešit, jestli začínat další lekci.</w:t>
      </w:r>
    </w:p>
    <w:p>
      <w:pPr>
        <w:pStyle w:val="Krok"/>
      </w:pPr>
      <w:r>
        <w:t xml:space="preserve">Proč je celý žebříček lekcí schovaný</w:t>
      </w:r>
    </w:p>
    <w:p>
      <w:pPr>
        <w:pStyle w:val="Normal"/>
      </w:pPr>
      <w:r>
        <w:t xml:space="preserve">Tohle je přímý důsledek té studie a asi největší jednotlivé rozhodnutí v návrhu obrazovky.</w:t>
      </w:r>
    </w:p>
    <w:p>
      <w:pPr>
        <w:pStyle w:val="Normal"/>
      </w:pPr>
      <w:r>
        <w:t xml:space="preserve">Osmapadesát lekcí vypsaných pod sebou je přesně ten vzdálený cíl, o kterém Bandura a Schunk ukázali, že nepomáhá. Navíc dělá dvě věci zároveň: dnešní práci ukáže jako nepatrný zlomek celku a všechno ostatní jako nesplněné. Dítě tak začíná každý den pohledem na dlouhý seznam toho, co ještě neumí.</w:t>
      </w:r>
    </w:p>
    <w:p>
      <w:pPr>
        <w:pStyle w:val="Normal"/>
      </w:pPr>
      <w:r>
        <w:t xml:space="preserve">Program proto ukazuje jen tři věci a v tomto pořadí:</w:t>
      </w:r>
    </w:p>
    <w:p>
      <w:pPr>
        <w:pStyle w:val="Odrazka"/>
      </w:pPr>
      <w:r>
        <w:t xml:space="preserve">•  Teď, což je jediná lekce, kterou má dítě rozdělanou nebo před sebou</w:t>
      </w:r>
    </w:p>
    <w:p>
      <w:pPr>
        <w:pStyle w:val="Odrazka"/>
      </w:pPr>
      <w:r>
        <w:t xml:space="preserve">•  Co už umíš, tedy hotové lekce seřazené od nejnovější</w:t>
      </w:r>
    </w:p>
    <w:p>
      <w:pPr>
        <w:pStyle w:val="Odrazka"/>
      </w:pPr>
      <w:r>
        <w:t xml:space="preserve">•  Co tě ještě čeká, schované pod odkazem, který se sám neotevírá</w:t>
      </w:r>
    </w:p>
    <w:p>
      <w:pPr>
        <w:pStyle w:val="Normal"/>
      </w:pPr>
      <w:r>
        <w:t xml:space="preserve">Hotové lekce jsou úmyslně otočené, nejnovější nahoře. Vypadá to jako detail, ale mění to, co dítě uvidí jako první po dnešním cíli: poslední zvládnutou věc, ne tu nejjednodušší z prvního týdne. Zároveň je nejnovější lekce vždycky po ruce, když si ji chce dítě ukázat nebo zopakovat, a nemusí se k ní prorolovávat přes všechno starší.</w:t>
      </w:r>
    </w:p>
    <w:p>
      <w:pPr>
        <w:pStyle w:val="Normal"/>
      </w:pPr>
      <w:r>
        <w:t xml:space="preserve">Celkový počet lekcí se dítěti nikde neukazuje. Zná ho jen rodič v přehledu.</w:t>
      </w:r>
    </w:p>
    <w:p>
      <w:pPr>
        <w:pStyle w:val="Blok"/>
      </w:pPr>
      <w:r>
        <w:t xml:space="preserve">Pochvala</w:t>
      </w:r>
    </w:p>
    <w:p>
      <w:pPr>
        <w:pStyle w:val="Normal"/>
      </w:pPr>
      <w:r>
        <w:t xml:space="preserve">Mueller a Dweck ukázali v roce 1998 v šesti studiích, že pochvala za chytrost má na motivaci horší dopady než pochvala za snahu. Děti chválené za chytrost se víc zaměřily na výkon než na učení. Po neúspěchu méně vytrvaly, méně si to užily, častěji si chybu vysvětlovaly nedostatkem schopností a psaly hůř. Navíc začaly schopnost považovat za něco daného, kdežto chválené za práci za něco, co jde zlepšit.</w:t>
      </w:r>
    </w:p>
    <w:p>
      <w:pPr>
        <w:pStyle w:val="Krok"/>
      </w:pPr>
      <w:r>
        <w:t xml:space="preserve">Co z toho v programu je</w:t>
      </w:r>
    </w:p>
    <w:p>
      <w:pPr>
        <w:pStyle w:val="Odrazka"/>
      </w:pPr>
      <w:r>
        <w:t xml:space="preserve">•  Chválí se odvedená práce, nikdy dítě samo. Program říká „u klávesnice to bylo jedenáct minut“, ne „jsi šikovná“.</w:t>
      </w:r>
    </w:p>
    <w:p>
      <w:pPr>
        <w:pStyle w:val="Odrazka"/>
      </w:pPr>
      <w:r>
        <w:t xml:space="preserve">•  Po splnění denního cíle se nikam netlačí: můžeš skončit, nebo si ještě zacvičit, jak chceš.</w:t>
      </w:r>
    </w:p>
    <w:p>
      <w:pPr>
        <w:pStyle w:val="Odrazka"/>
      </w:pPr>
      <w:r>
        <w:t xml:space="preserve">•  Po nepovedené lekci program nekárá, ale navrhne pauzu a pomalejší tempo.</w:t>
      </w:r>
    </w:p>
    <w:p>
      <w:pPr>
        <w:pStyle w:val="Odrazka"/>
      </w:pPr>
      <w:r>
        <w:t xml:space="preserve">•  Formulace jsou bez rodu, takže program poslouží i chlapci.</w:t>
      </w:r>
    </w:p>
    <w:p>
      <w:pPr>
        <w:pStyle w:val="Odrazka"/>
      </w:pPr>
      <w:r>
        <w:t xml:space="preserve">•  Testy kontrolují, že se v pochvalách neobjeví slova jako šikovná nebo chytrá.</w:t>
      </w:r>
    </w:p>
    <w:p>
      <w:pPr>
        <w:pStyle w:val="Blok"/>
      </w:pPr>
      <w:r>
        <w:t xml:space="preserve">Hvězdičky a zpětná vazba</w:t>
      </w:r>
    </w:p>
    <w:p>
      <w:pPr>
        <w:pStyle w:val="Normal"/>
      </w:pPr>
      <w:r>
        <w:t xml:space="preserve">Hvězdičky v programu nejsou bodování proti ostatním, ale zpráva o vlastní přesnosti proti pevnému kritériu. Jedna za devadesát procent, dvě za pětadevadesát, tři za osmadevadesát a splněnou cílovou rychlost. Takové hodnocení spadá do kategorie informační zpětné vazby, tedy do té, která vnitřní motivaci spíš podporuje.</w:t>
      </w:r>
    </w:p>
    <w:p>
      <w:pPr>
        <w:pStyle w:val="Normal"/>
      </w:pPr>
      <w:r>
        <w:t xml:space="preserve">Deficitní rámování se drží stranou. Souhrn typu „pět hvězdiček z sto čtrnácti možných“ nebo počet lekcí bez hvězdičky vidí jen rodič v přehledu. Dítě má u každé lekce jen její vlastní tři hvězdičky.</w:t>
      </w:r>
    </w:p>
    <w:p>
      <w:pPr>
        <w:pStyle w:val="Normal"/>
      </w:pPr>
      <w:r>
        <w:t xml:space="preserve">Přesnost je nadřazená rychlosti, protože dokud se plete hmat, rychlost chyby jen upevňuje. Proto se za rychlost samotnou nedá dostat víc než dvě hvězdičky.</w:t>
      </w:r>
    </w:p>
    <w:p>
      <w:pPr>
        <w:pStyle w:val="Blok"/>
      </w:pPr>
      <w:r>
        <w:t xml:space="preserve">Gamifikace jako celek</w:t>
      </w:r>
    </w:p>
    <w:p>
      <w:pPr>
        <w:pStyle w:val="Normal"/>
      </w:pPr>
      <w:r>
        <w:t xml:space="preserve">Metaanalýzy gamifikace ve vzdělávání vycházejí smíšeně. Nejkonzistentnější zjištění je, že gamifikace zvyšuje vnímanou autonomii a sounáležitost a zlepšuje vnitřní motivaci, ale na vnímanou kompetenci má vliv malý. Opakovaně se připomíná, že efekt novosti vyprchá a že špatně navržené prvky můžou obsah učení zastínit, protože dítě proklikává rychle za odměnou místo aby se učilo.</w:t>
      </w:r>
    </w:p>
    <w:p>
      <w:pPr>
        <w:pStyle w:val="Normal"/>
      </w:pPr>
      <w:r>
        <w:t xml:space="preserve">Ukazatel postupu se v přehledech objevuje jako prvek, který spolehlivě pomáhá, protože dělá pokrok viditelným a vede k dokončení rozdělané věci.</w:t>
      </w:r>
    </w:p>
    <w:p>
      <w:pPr>
        <w:pStyle w:val="Normal"/>
      </w:pPr>
      <w:r>
        <w:t xml:space="preserve">Žebříčky jsou naopak rizikové: motivují soutěživé a demotivují ostatní. Tvrzení, že statický žebříček odradí devadesát procent uživatelů během týdne, koluje po firemních blozích a nedohledal jsem k němu studii, takže ho neberu jako důkaz, jen jako varování ve stejném směru.</w:t>
      </w:r>
    </w:p>
    <w:p>
      <w:pPr>
        <w:pStyle w:val="Krok"/>
      </w:pPr>
      <w:r>
        <w:t xml:space="preserve">Co v programu záměrně není</w:t>
      </w:r>
    </w:p>
    <w:p>
      <w:pPr>
        <w:pStyle w:val="Odrazka"/>
      </w:pPr>
      <w:r>
        <w:t xml:space="preserve">•  žebříčky a srovnávání s jinými dětmi</w:t>
      </w:r>
    </w:p>
    <w:p>
      <w:pPr>
        <w:pStyle w:val="Odrazka"/>
      </w:pPr>
      <w:r>
        <w:t xml:space="preserve">•  body, kombo a odpočet času během psaní</w:t>
      </w:r>
    </w:p>
    <w:p>
      <w:pPr>
        <w:pStyle w:val="Odrazka"/>
      </w:pPr>
      <w:r>
        <w:t xml:space="preserve">•  série dnů jako tlak. Série se ukazuje, až když jsou aspoň dva dny, aby tam nesvítila nula, a její přerušení se nikde nekomentuje.</w:t>
      </w:r>
    </w:p>
    <w:p>
      <w:pPr>
        <w:pStyle w:val="Odrazka"/>
      </w:pPr>
      <w:r>
        <w:t xml:space="preserve">•  sliby odměn dopředu</w:t>
      </w:r>
    </w:p>
    <w:p>
      <w:pPr>
        <w:pStyle w:val="Blok"/>
      </w:pPr>
      <w:r>
        <w:t xml:space="preserve">Limity a na co si dát pozor</w:t>
      </w:r>
    </w:p>
    <w:p>
      <w:pPr>
        <w:pStyle w:val="Normal"/>
      </w:pPr>
      <w:r>
        <w:t xml:space="preserve">Studie, o které se to opírá, jsou ze sedmdesátých až devadesátých let a týkají se jiných úloh než psaní na klávesnici. Přenos je rozumný, ale není to důkaz.</w:t>
      </w:r>
    </w:p>
    <w:p>
      <w:pPr>
        <w:pStyle w:val="Normal"/>
      </w:pPr>
      <w:r>
        <w:t xml:space="preserve">Efekt novosti vyprchá i tady. Až obrázky do notýsku přestanou fungovat, není řešením přidávat větší odměny, protože tím se posiluje právě ta vnější motivace, která škodí. Lepší je přidat autonomii, tedy výběr tématu, možnost zopakovat si jen část lekce nebo psát vlastní text.</w:t>
      </w:r>
    </w:p>
    <w:p>
      <w:pPr>
        <w:pStyle w:val="Normal"/>
      </w:pPr>
      <w:r>
        <w:t xml:space="preserve">Sledovatelný ukazatel toho, jestli to funguje, je jednoduchý: vrací se dítě k programu samo, nebo jen když ho o to někdo požádá.</w:t>
      </w:r>
    </w:p>
    <w:p>
      <w:pPr>
        <w:pStyle w:val="Blok"/>
      </w:pPr>
      <w:r>
        <w:t xml:space="preserve">Zdroje</w:t>
      </w:r>
    </w:p>
    <w:p>
      <w:pPr>
        <w:pStyle w:val="Odrazka"/>
      </w:pPr>
      <w:r>
        <w:t xml:space="preserve">•  Deci, Koestner, Ryan (1999), metaanalýza odměn a vnitřní motivace, https://www.researchgate.net/publication/12712628_A_Meta-Analytic_Review_of_Experiments_Examining_the_Effects_of_Extrinsic_Rewards_on_Intrinsic_Motivation</w:t>
      </w:r>
    </w:p>
    <w:p>
      <w:pPr>
        <w:pStyle w:val="Odrazka"/>
      </w:pPr>
      <w:r>
        <w:t xml:space="preserve">•  Bandura, Schunk (1981), blízké dílčí cíle u dětí, https://uploads-ssl.webflow.com/59faaf5b01b9500001e95457/5bc552d85141987915dab842_Bandura%20&amp;%20Schunk,%201981.pdf</w:t>
      </w:r>
    </w:p>
    <w:p>
      <w:pPr>
        <w:pStyle w:val="Odrazka"/>
      </w:pPr>
      <w:r>
        <w:t xml:space="preserve">•  Mueller, Dweck (1998), pochvala za chytrost, https://www.columbia.edu/cu/psychology/courses/3615/Readings/Mueller_Dweck.pdf</w:t>
      </w:r>
    </w:p>
    <w:p>
      <w:pPr>
        <w:pStyle w:val="Odrazka"/>
      </w:pPr>
      <w:r>
        <w:t xml:space="preserve">•  Lepper, Greene (1975), dohled a vnější odměny u dětí, https://bingschool.stanford.edu/sites/bingschool/files/1975_leppergreene.pdf</w:t>
      </w:r>
    </w:p>
    <w:p>
      <w:pPr>
        <w:pStyle w:val="Odrazka"/>
      </w:pPr>
      <w:r>
        <w:t xml:space="preserve">•  Overjustification efekt, přehled, https://en.wikipedia.org/wiki/Overjustification_effect</w:t>
      </w:r>
    </w:p>
    <w:p>
      <w:pPr>
        <w:pStyle w:val="Odrazka"/>
      </w:pPr>
      <w:r>
        <w:t xml:space="preserve">•  Metaanalýza účinnosti gamifikace ve výuce, https://www.ncbi.nlm.nih.gov/pmc/articles/PMC10591086/</w:t>
      </w:r>
    </w:p>
    <w:p>
      <w:pPr>
        <w:pStyle w:val="Odrazka"/>
      </w:pPr>
      <w:r>
        <w:t xml:space="preserve">•  Gamifikace a vnitřní motivace, metaanalýza, https://link.springer.com/article/10.1007/s11423-023-10337-7</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lang w:val="cs-CZ"/>
      </w:rPr>
    </w:rPrDefault>
  </w:docDefaults>
  <w:style w:type="paragraph" w:styleId="Normal">
    <w:name w:val="Normal"/>
    <w:qFormat/>
    <w:pPr>
      <w:spacing w:before="0" w:after="120" w:line="264" w:lineRule="auto"/>
    </w:pPr>
    <w:rPr>
      <w:rFonts w:ascii="Calibri" w:hAnsi="Calibri"/>
      <w:color w:val="000000"/>
      <w:sz w:val="22"/>
    </w:rPr>
  </w:style>
  <w:style w:type="paragraph" w:styleId="Nadpis">
    <w:name w:val="Title"/>
    <w:qFormat/>
    <w:pPr>
      <w:spacing w:before="0" w:after="60" w:line="264" w:lineRule="auto"/>
    </w:pPr>
    <w:rPr>
      <w:rFonts w:ascii="Calibri" w:hAnsi="Calibri"/>
      <w:b/>
      <w:color w:val="000000"/>
      <w:sz w:val="52"/>
    </w:rPr>
  </w:style>
  <w:style w:type="paragraph" w:styleId="Podnadpis">
    <w:name w:val="Subtitle"/>
    <w:qFormat/>
    <w:pPr>
      <w:spacing w:before="0" w:after="400" w:line="264" w:lineRule="auto"/>
    </w:pPr>
    <w:rPr>
      <w:rFonts w:ascii="Calibri" w:hAnsi="Calibri"/>
      <w:color w:val="767171"/>
      <w:sz w:val="24"/>
    </w:rPr>
  </w:style>
  <w:style w:type="paragraph" w:styleId="Blok">
    <w:name w:val="heading 1"/>
    <w:qFormat/>
    <w:pPr>
      <w:keepNext/>
      <w:spacing w:before="400" w:after="60" w:line="264" w:lineRule="auto"/>
    </w:pPr>
    <w:rPr>
      <w:rFonts w:ascii="Calibri" w:hAnsi="Calibri"/>
      <w:b/>
      <w:color w:val="4A7C59"/>
      <w:sz w:val="20"/>
    </w:rPr>
  </w:style>
  <w:style w:type="paragraph" w:styleId="Lekce">
    <w:name w:val="heading 2"/>
    <w:qFormat/>
    <w:pPr>
      <w:keepNext/>
      <w:spacing w:before="120" w:after="120" w:line="264" w:lineRule="auto"/>
    </w:pPr>
    <w:rPr>
      <w:rFonts w:ascii="Calibri" w:hAnsi="Calibri"/>
      <w:b/>
      <w:color w:val="000000"/>
      <w:sz w:val="30"/>
    </w:rPr>
  </w:style>
  <w:style w:type="paragraph" w:styleId="Krok">
    <w:name w:val="heading 3"/>
    <w:qFormat/>
    <w:pPr>
      <w:keepNext/>
      <w:spacing w:before="240" w:after="60" w:line="264" w:lineRule="auto"/>
    </w:pPr>
    <w:rPr>
      <w:rFonts w:ascii="Calibri" w:hAnsi="Calibri"/>
      <w:b/>
      <w:color w:val="767171"/>
      <w:sz w:val="22"/>
    </w:rPr>
  </w:style>
  <w:style w:type="paragraph" w:styleId="Odrazka">
    <w:name w:val="List Paragraph"/>
    <w:qFormat/>
    <w:pPr>
      <w:spacing w:before="0" w:after="60" w:line="264" w:lineRule="auto"/>
      <w:ind w:left="340"/>
    </w:pPr>
    <w:rPr>
      <w:rFonts w:ascii="Calibri" w:hAnsi="Calibri"/>
      <w:color w:val="000000"/>
      <w:sz w:val="22"/>
    </w:rPr>
  </w:style>
  <w:style w:type="paragraph" w:styleId="Cviceni">
    <w:name w:val="Exercise"/>
    <w:qFormat/>
    <w:pPr>
      <w:spacing w:before="0" w:after="40" w:line="264" w:lineRule="auto"/>
      <w:ind w:left="340"/>
    </w:pPr>
    <w:rPr>
      <w:rFonts w:ascii="Consolas" w:hAnsi="Consolas"/>
      <w:color w:val="000000"/>
      <w:sz w:val="20"/>
    </w:rPr>
  </w:style>
  <w:style w:type="paragraph" w:styleId="Poznamka">
    <w:name w:val="Note"/>
    <w:qFormat/>
    <w:pPr>
      <w:spacing w:before="0" w:after="60" w:line="264" w:lineRule="auto"/>
    </w:pPr>
    <w:rPr>
      <w:rFonts w:ascii="Calibri" w:hAnsi="Calibri"/>
      <w:color w:val="767171"/>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