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2 Univariate and multivariate analyses of clinicopathological
characteristics, miR-195-5p, and YAP1 with overall survival in TCGA COAD
cohort and independent validation cohort</w:t>
      </w:r>
    </w:p>
    <w:tbl>
      <w:tblPr>
        <w:tblStyle w:val="Listeclaire-Accent2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Univariate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Multivariate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</w:tr>
      <w:tr>
        <w:tc>
          <w:p>
            <w:pPr>
              <w:pStyle w:val="Normal"/>
            </w:pPr>
            <w:r>
              <w:t>TCGA COAD testing set (n=200)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0.733(0.452-1.189)</w:t>
            </w:r>
          </w:p>
        </w:tc>
        <w:tc>
          <w:p>
            <w:pPr>
              <w:pStyle w:val="Normal"/>
            </w:pPr>
            <w:r>
              <w:t>0.209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1.557(0.949-2.555)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0.686(0.34-1.382)</w:t>
            </w:r>
          </w:p>
        </w:tc>
        <w:tc>
          <w:p>
            <w:pPr>
              <w:pStyle w:val="Normal"/>
            </w:pPr>
            <w:r>
              <w:t>0.292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2.35(1.408-3.924)</w:t>
            </w:r>
          </w:p>
        </w:tc>
        <w:tc>
          <w:p>
            <w:pPr>
              <w:pStyle w:val="Normal"/>
            </w:pPr>
            <w:r>
              <w:t>0.001</w:t>
            </w:r>
          </w:p>
        </w:tc>
        <w:tc>
          <w:p>
            <w:pPr>
              <w:pStyle w:val="Normal"/>
            </w:pPr>
            <w:r>
              <w:t>0.995(0.542-1.829)</w:t>
            </w:r>
          </w:p>
        </w:tc>
        <w:tc>
          <w:p>
            <w:pPr>
              <w:pStyle w:val="Normal"/>
            </w:pPr>
            <w:r>
              <w:t>0.988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3.708(2.245-6.124)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1.536(0.842-2.803)</w:t>
            </w:r>
          </w:p>
        </w:tc>
        <w:tc>
          <w:p>
            <w:pPr>
              <w:pStyle w:val="Normal"/>
            </w:pPr>
            <w:r>
              <w:t>0.162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2.387(1.443-3.95)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1.579(0.929-2.683)</w:t>
            </w:r>
          </w:p>
        </w:tc>
        <w:tc>
          <w:p>
            <w:pPr>
              <w:pStyle w:val="Normal"/>
            </w:pPr>
            <w:r>
              <w:t>0.092</w:t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2.729(1.679-4.436)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1.983(1.145-3.434)</w:t>
            </w:r>
          </w:p>
        </w:tc>
        <w:tc>
          <w:p>
            <w:pPr>
              <w:pStyle w:val="Normal"/>
            </w:pPr>
            <w:r>
              <w:t>0.015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3.859(2.122-7.019)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2.666(1.223-5.814)</w:t>
            </w:r>
          </w:p>
        </w:tc>
        <w:tc>
          <w:p>
            <w:pPr>
              <w:pStyle w:val="Normal"/>
            </w:pPr>
            <w:r>
              <w:t>0.014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1.159(0.718-1.869)</w:t>
            </w:r>
          </w:p>
        </w:tc>
        <w:tc>
          <w:p>
            <w:pPr>
              <w:pStyle w:val="Normal"/>
            </w:pPr>
            <w:r>
              <w:t>0.546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0.672(0.411-1.098)</w:t>
            </w:r>
          </w:p>
        </w:tc>
        <w:tc>
          <w:p>
            <w:pPr>
              <w:pStyle w:val="Normal"/>
            </w:pPr>
            <w:r>
              <w:t>0.113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Independent validation cohort (n = 60)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0.686(0.254-1.851)</w:t>
            </w:r>
          </w:p>
        </w:tc>
        <w:tc>
          <w:p>
            <w:pPr>
              <w:pStyle w:val="Normal"/>
            </w:pPr>
            <w:r>
              <w:t>0.457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1.632(0.662-4.02)</w:t>
            </w:r>
          </w:p>
        </w:tc>
        <w:tc>
          <w:p>
            <w:pPr>
              <w:pStyle w:val="Normal"/>
            </w:pPr>
            <w:r>
              <w:t>0.287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0.361(0.115-1.13)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2.812(1.076-7.347)</w:t>
            </w:r>
          </w:p>
        </w:tc>
        <w:tc>
          <w:p>
            <w:pPr>
              <w:pStyle w:val="Normal"/>
            </w:pPr>
            <w:r>
              <w:t>0.035</w:t>
            </w:r>
          </w:p>
        </w:tc>
        <w:tc>
          <w:p>
            <w:pPr>
              <w:pStyle w:val="Normal"/>
            </w:pPr>
            <w:r>
              <w:t>1.431(0.345-5.936)</w:t>
            </w:r>
          </w:p>
        </w:tc>
        <w:tc>
          <w:p>
            <w:pPr>
              <w:pStyle w:val="Normal"/>
            </w:pPr>
            <w:r>
              <w:t>0.622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3.548(1.319-9.545)</w:t>
            </w:r>
          </w:p>
        </w:tc>
        <w:tc>
          <w:p>
            <w:pPr>
              <w:pStyle w:val="Normal"/>
            </w:pPr>
            <w:r>
              <w:t>0.012</w:t>
            </w:r>
          </w:p>
        </w:tc>
        <w:tc>
          <w:p>
            <w:pPr>
              <w:pStyle w:val="Normal"/>
            </w:pPr>
            <w:r>
              <w:t>1.716(0.505-5.835)</w:t>
            </w:r>
          </w:p>
        </w:tc>
        <w:tc>
          <w:p>
            <w:pPr>
              <w:pStyle w:val="Normal"/>
            </w:pPr>
            <w:r>
              <w:t>0.387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1.568(0.635-3.87)</w:t>
            </w:r>
          </w:p>
        </w:tc>
        <w:tc>
          <w:p>
            <w:pPr>
              <w:pStyle w:val="Normal"/>
            </w:pPr>
            <w:r>
              <w:t>0.33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4.123(1.544-11.008)</w:t>
            </w:r>
          </w:p>
        </w:tc>
        <w:tc>
          <w:p>
            <w:pPr>
              <w:pStyle w:val="Normal"/>
            </w:pPr>
            <w:r>
              <w:t>0.005</w:t>
            </w:r>
          </w:p>
        </w:tc>
        <w:tc>
          <w:p>
            <w:pPr>
              <w:pStyle w:val="Normal"/>
            </w:pPr>
            <w:r>
              <w:t>2.127(0.545-8.307)</w:t>
            </w:r>
          </w:p>
        </w:tc>
        <w:tc>
          <w:p>
            <w:pPr>
              <w:pStyle w:val="Normal"/>
            </w:pPr>
            <w:r>
              <w:t>0.278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3.351(1.117-10.051)</w:t>
            </w:r>
          </w:p>
        </w:tc>
        <w:tc>
          <w:p>
            <w:pPr>
              <w:pStyle w:val="Normal"/>
            </w:pPr>
            <w:r>
              <w:t>0.031</w:t>
            </w:r>
          </w:p>
        </w:tc>
        <w:tc>
          <w:p>
            <w:pPr>
              <w:pStyle w:val="Normal"/>
            </w:pPr>
            <w:r>
              <w:t>1.367(0.237-7.892)</w:t>
            </w:r>
          </w:p>
        </w:tc>
        <w:tc>
          <w:p>
            <w:pPr>
              <w:pStyle w:val="Normal"/>
            </w:pPr>
            <w:r>
              <w:t>0.726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1.897(0.717-5.019)</w:t>
            </w:r>
          </w:p>
        </w:tc>
        <w:tc>
          <w:p>
            <w:pPr>
              <w:pStyle w:val="Normal"/>
            </w:pPr>
            <w:r>
              <w:t>0.197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1.08(0.443-2.635)</w:t>
            </w:r>
          </w:p>
        </w:tc>
        <w:tc>
          <w:p>
            <w:pPr>
              <w:pStyle w:val="Normal"/>
            </w:pPr>
            <w:r>
              <w:t>0.865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2025-09-22T06:40:15Z</dcterms:modified>
  <cp:category/>
</cp:coreProperties>
</file>