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Analyst targeting roles emphasizing R. 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r>
        <w:rPr>
          <w:rFonts w:cstheme="minorHAnsi" w:hint="eastAsia"/>
          <w:sz w:val="20"/>
          <w:szCs w:val="20"/>
          <w:lang w:eastAsia="zh-CN"/>
        </w:rPr>
      </w:r>
      <w:r>
        <w:rPr>
          <w:rFonts w:cstheme="minorHAnsi"/>
          <w:sz w:val="20"/>
          <w:szCs w:val="20"/>
        </w:rPr>
      </w:r>
      <w:r>
        <w:rPr>
          <w:rFonts w:cstheme="minorHAnsi" w:hint="eastAsia"/>
          <w:sz w:val="20"/>
          <w:szCs w:val="20"/>
          <w:lang w:eastAsia="zh-CN"/>
        </w:rPr>
      </w:r>
      <w:r>
        <w:rPr>
          <w:rFonts w:cstheme="minorHAnsi"/>
          <w:sz w:val="20"/>
          <w:szCs w:val="20"/>
        </w:rPr>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sidR="00A80B18">
        <w:rPr>
          <w:rFonts w:cstheme="minorHAnsi" w:hint="eastAsia"/>
          <w:kern w:val="0"/>
          <w:sz w:val="20"/>
          <w:szCs w:val="20"/>
          <w:lang w:eastAsia="zh-CN"/>
        </w:rPr>
        <w:t xml:space="preserve"> </w:t>
      </w:r>
      <w:r w:rsidR="00A80B18">
        <w:rPr>
          <w:rFonts w:cstheme="minorHAnsi"/>
          <w:kern w:val="0"/>
          <w:sz w:val="20"/>
          <w:szCs w:val="20"/>
        </w:rPr>
        <w:t>|</w:t>
      </w:r>
      <w:r w:rsidR="00A80B18" w:rsidRPr="00A80B18">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r>
        <w:rPr>
          <w:rFonts w:cstheme="minorHAnsi" w:hint="eastAsia"/>
          <w:sz w:val="20"/>
          <w:szCs w:val="20"/>
          <w:lang w:eastAsia="zh-CN"/>
        </w:rPr>
      </w:r>
      <w:r>
        <w:rPr>
          <w:rFonts w:cstheme="minorHAnsi"/>
          <w:sz w:val="20"/>
          <w:szCs w:val="20"/>
        </w:rPr>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r>
        <w:rPr>
          <w:rFonts w:cstheme="minorHAnsi" w:hint="eastAsia"/>
          <w:sz w:val="20"/>
          <w:szCs w:val="20"/>
          <w:lang w:eastAsia="zh-CN"/>
        </w:rPr>
      </w:r>
      <w:r>
        <w:rPr>
          <w:rFonts w:cstheme="minorHAnsi"/>
          <w:sz w:val="20"/>
          <w:szCs w:val="20"/>
        </w:rPr>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539DC5B3" w14:textId="00695B5F" w:rsidR="0005058C" w:rsidRPr="00282DCE" w:rsidRDefault="009C7A4B" w:rsidP="001B0621">
      <w:pPr>
        <w:autoSpaceDE w:val="0"/>
        <w:autoSpaceDN w:val="0"/>
        <w:adjustRightInd w:val="0"/>
        <w:spacing w:after="0" w:line="240" w:lineRule="auto"/>
        <w:rPr>
          <w:rFonts w:cstheme="minorHAnsi"/>
          <w:b/>
          <w:bCs/>
          <w:kern w:val="0"/>
          <w:sz w:val="20"/>
          <w:szCs w:val="20"/>
        </w:rPr>
      </w:pPr>
      <w:r>
        <w:rPr>
          <w:rFonts w:cstheme="minorHAnsi"/>
          <w:b/>
          <w:bCs/>
          <w:kern w:val="0"/>
          <w:sz w:val="20"/>
          <w:szCs w:val="20"/>
        </w:rPr>
        <w:t>Insurance Claims Severity Modeling | Python, R, pandas, scikit-learn</w:t>
      </w:r>
      <w:r>
        <w:rPr>
          <w:rFonts w:cstheme="minorHAnsi" w:hint="eastAsia"/>
          <w:b/>
          <w:bCs/>
          <w:kern w:val="0"/>
          <w:sz w:val="20"/>
          <w:szCs w:val="20"/>
          <w:lang w:eastAsia="zh-CN"/>
        </w:rPr>
        <w:t xml:space="preserve">, </w:t>
      </w:r>
      <w:r>
        <w:rPr>
          <w:rFonts w:cstheme="minorHAnsi"/>
          <w:b/>
          <w:bCs/>
          <w:kern w:val="0"/>
          <w:sz w:val="20"/>
          <w:szCs w:val="20"/>
          <w:lang w:eastAsia="zh-CN"/>
        </w:rPr>
        <w:t>Monte Carlo Simulation</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4C708DB1" w14:textId="17E269FB" w:rsidR="002C0BA8" w:rsidRDefault="002C0BA8"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To estimate claim severity across heterogeneous policy segments, collected and cleaned historical claims data and engineered exposure- and policy-level features to support distributional analysis of loss costs</w:t>
      </w:r>
    </w:p>
    <w:p w14:paraId="3ECA3E05" w14:textId="60698DC4" w:rsidR="00E010DE" w:rsidRPr="00282DCE"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Analyzed skewed loss distributions, outliers, and cost drivers; compared regression and tree-based approaches to evaluate trade-offs among predictive accuracy, robustness, and business interpretability for underwriting and reserving use cases</w:t>
      </w:r>
    </w:p>
    <w:p w14:paraId="46558BEF" w14:textId="3CC394DE" w:rsidR="00471D37"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Extended the modeling framework with Monte Carlo simulation and performance-benchmarking concepts to evaluate scalable pricing workflows, translating model outputs into risk segmentation, pricing review, and portfolio-level reporting insights</w:t>
      </w:r>
    </w:p>
    <w:p w14:paraId="69F75B85" w14:textId="77777777" w:rsidR="00136BD5" w:rsidRPr="00136BD5" w:rsidRDefault="00136BD5" w:rsidP="00136BD5">
      <w:pPr>
        <w:pStyle w:val="a9"/>
        <w:autoSpaceDE w:val="0"/>
        <w:autoSpaceDN w:val="0"/>
        <w:adjustRightInd w:val="0"/>
        <w:spacing w:after="0" w:line="240" w:lineRule="auto"/>
        <w:ind w:left="142"/>
        <w:jc w:val="both"/>
        <w:rPr>
          <w:rFonts w:cstheme="minorHAnsi"/>
          <w:kern w:val="0"/>
          <w:sz w:val="8"/>
          <w:szCs w:val="8"/>
        </w:rPr>
      </w:pP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sidR="00ED2963">
        <w:rPr>
          <w:rFonts w:cstheme="minorHAnsi" w:hint="eastAsia"/>
          <w:b/>
          <w:bCs/>
          <w:kern w:val="0"/>
          <w:sz w:val="20"/>
          <w:szCs w:val="20"/>
          <w:lang w:eastAsia="zh-CN"/>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kern w:val="0"/>
          <w:sz w:val="20"/>
          <w:szCs w:val="20"/>
        </w:rPr>
        <w:t>Built</w:t>
      </w:r>
      <w:r w:rsidR="00554264" w:rsidRPr="00554264">
        <w:rPr>
          <w:rFonts w:cstheme="minorHAnsi"/>
          <w:kern w:val="0"/>
          <w:sz w:val="20"/>
          <w:szCs w:val="20"/>
        </w:rPr>
        <w:t xml:space="preserve"> and published an interactive Tableau dashboard visualizing component-level risk rankings and recall-lag trends (first complaint to official recall), translating 11,349 complaint records into decision-ready risk insights for quality and safety stakeholders.</w:t>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R, Python, SQL, Tableau, Apache Airflow, data cleaning, feature engineering, exploratory analysis, Pandas, NumPy, scikit-learn, XGBoost, Monte Carlo Simulation, Credit Risk, Claims Modeling</w:t>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