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63D6660F" w14:textId="B706654F"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6D2A23ED" w14:textId="B1891585"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producing JD-matched one-page resumes without breaking a locked Word template, built a Python/FastAPI + Next.js AI agent that ranks roles, extracts keywords, and injects tailored content into the master DOCX via OOXML edits</w:t>
      </w:r>
    </w:p>
    <w:p w14:paraId="EA084247" w14:textId="B94729AA" w:rsidR="003B6BD4" w:rsidRPr="00282DCE" w:rsidRDefault="009E5995" w:rsidP="00912870">
      <w:pPr>
        <w:pStyle w:val="ae"/>
        <w:numPr>
          <w:ilvl w:val="0"/>
          <w:numId w:val="40"/>
        </w:numPr>
        <w:jc w:val="both"/>
        <w:rPr>
          <w:rFonts w:cstheme="minorHAnsi"/>
          <w:sz w:val="20"/>
          <w:szCs w:val="20"/>
        </w:rPr>
      </w:pPr>
      <w:r>
        <w:rPr>
          <w:rFonts w:cstheme="minorHAnsi"/>
          <w:sz w:val="20"/>
          <w:szCs w:val="20"/>
        </w:rPr>
        <w:t>Designed format-lock and quality-gate checks (shell fingerprint, hyperlink preservation, Word PDF one-page validation, evidence-linked bullets) so delivery copies keep master fonts, margins, and list styles without rebuilding the document</w:t>
      </w:r>
    </w:p>
    <w:p w14:paraId="9AD98A67" w14:textId="D85D765C" w:rsidR="006116A1" w:rsidRDefault="009E5995" w:rsidP="006116A1">
      <w:pPr>
        <w:pStyle w:val="ae"/>
        <w:numPr>
          <w:ilvl w:val="0"/>
          <w:numId w:val="40"/>
        </w:numPr>
        <w:jc w:val="both"/>
        <w:rPr>
          <w:rFonts w:cstheme="minorHAnsi"/>
          <w:sz w:val="20"/>
          <w:szCs w:val="20"/>
        </w:rPr>
      </w:pPr>
      <w:r>
        <w:rPr>
          <w:rFonts w:cstheme="minorHAnsi"/>
          <w:sz w:val="20"/>
          <w:szCs w:val="20"/>
        </w:rPr>
        <w:t>Delivered JD-aware resume projections by scoring inventory entries on SQL/Tableau/Python keyword overlap, reordering skills, and preserving evidence links on every bullet</w:t>
      </w:r>
    </w:p>
    <w:p w14:paraId="7D8AA0C3" w14:textId="BC57EC1E"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data cleaning, stakeholder reporting, Apache Airflow, feature engineering, exploratory analysis, Pandas, NumPy, scikit-learn, XGBoost, Monte Carlo Simulation, Credit Risk, Claims Modeling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