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sidR="00ED2963">
        <w:rPr>
          <w:rFonts w:cstheme="minorHAnsi" w:hint="eastAsia"/>
          <w:b/>
          <w:bCs/>
          <w:kern w:val="0"/>
          <w:sz w:val="20"/>
          <w:szCs w:val="20"/>
          <w:lang w:eastAsia="zh-CN"/>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r w:rsidR="00554264" w:rsidRPr="00554264">
        <w:rPr>
          <w:rFonts w:cstheme="minorHAnsi"/>
          <w:kern w:val="0"/>
          <w:sz w:val="20"/>
          <w:szCs w:val="20"/>
        </w:rPr>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Apache Airflow, data cleaning, feature engineering, exploratory analysis, Pandas, NumPy, scikit-learn, XGBoost, Monte Carlo Simulation, Credit Risk, Claims Modeling, stakeholder reporting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