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D2B4F9F6" w14:textId="3CC5C88C"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8348D48F" w14:textId="BD10B7DF" w:rsidR="003B6BD4" w:rsidRPr="00282DCE" w:rsidRDefault="009E5995" w:rsidP="00912870">
      <w:pPr>
        <w:pStyle w:val="ae"/>
        <w:numPr>
          <w:ilvl w:val="0"/>
          <w:numId w:val="40"/>
        </w:numPr>
        <w:jc w:val="both"/>
        <w:rPr>
          <w:rFonts w:cstheme="minorHAnsi"/>
          <w:sz w:val="20"/>
          <w:szCs w:val="20"/>
        </w:rPr>
      </w:pPr>
      <w:r>
        <w:rPr>
          <w:rFonts w:cstheme="minorHAnsi"/>
          <w:sz w:val="20"/>
          <w:szCs w:val="20"/>
        </w:rPr>
        <w:t>Automated end-to-end job-application prep: JD parsing, inventory projection, DOCX injection, and one-page PDF validation to reduce manual resume formatting work</w:t>
      </w:r>
    </w:p>
    <w:p w14:paraId="2A5426A7" w14:textId="0F642197" w:rsidR="003B6BD4" w:rsidRPr="00282DCE" w:rsidRDefault="009E5995" w:rsidP="00912870">
      <w:pPr>
        <w:pStyle w:val="ae"/>
        <w:numPr>
          <w:ilvl w:val="0"/>
          <w:numId w:val="40"/>
        </w:numPr>
        <w:jc w:val="both"/>
        <w:rPr>
          <w:rFonts w:cstheme="minorHAnsi"/>
          <w:sz w:val="20"/>
          <w:szCs w:val="20"/>
        </w:rPr>
      </w:pPr>
      <w:r>
        <w:rPr>
          <w:rFonts w:cstheme="minorHAnsi"/>
          <w:sz w:val="20"/>
          <w:szCs w:val="20"/>
        </w:rPr>
        <w:t>Designed format-lock and quality-gate checks (shell fingerprint, hyperlink preservation, Word PDF one-page validation, evidence-linked bullets) so delivery copies keep master fonts, margins, and list styles without rebuilding the document</w:t>
      </w:r>
    </w:p>
    <w:p w14:paraId="D81A4E1A" w14:textId="62423B32" w:rsidR="006116A1" w:rsidRDefault="009E5995" w:rsidP="006116A1">
      <w:pPr>
        <w:pStyle w:val="ae"/>
        <w:numPr>
          <w:ilvl w:val="0"/>
          <w:numId w:val="40"/>
        </w:numPr>
        <w:jc w:val="both"/>
        <w:rPr>
          <w:rFonts w:cstheme="minorHAnsi"/>
          <w:sz w:val="20"/>
          <w:szCs w:val="20"/>
        </w:rPr>
      </w:pPr>
      <w:r>
        <w:rPr>
          <w:rFonts w:cstheme="minorHAnsi"/>
          <w:sz w:val="20"/>
          <w:szCs w:val="20"/>
        </w:rPr>
        <w:t>Documented failure modes (multi-page spill, broken hyperlinks, stacked summaries) and encoded them as blocking quality gates in the agent pipeline</w:t>
      </w:r>
    </w:p>
    <w:p w14:paraId="7C56F2DE" w14:textId="DE9486D6"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stakeholder reporting, Tableau, Apache Airflow, data cleaning, feature engineering, exploratory analysis, Pandas, NumPy, scikit-learn, XGBoost, Monte Carlo Simulation, Credit Risk, Claims Modeling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