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B82CE850" w14:textId="C9AEAE44"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AI Agent Intern | Beijing Yiling Network Technology Co., Ltd.                                                                        Beijing, China | June 2026 - Present</w:t>
      </w:r>
    </w:p>
    <w:p w14:paraId="61E68E55" w14:textId="D9695286"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 Python agent that projects risk-analyst resumes from a locked master by selecting credit/claims/Monte Carlo evidence and injecting content-only OOXML updates</w:t>
      </w:r>
    </w:p>
    <w:p w14:paraId="DBC0E3AE" w14:textId="B836B0A8" w:rsidR="003B6BD4" w:rsidRPr="00282DCE" w:rsidRDefault="009E5995" w:rsidP="00912870">
      <w:pPr>
        <w:pStyle w:val="ae"/>
        <w:numPr>
          <w:ilvl w:val="0"/>
          <w:numId w:val="40"/>
        </w:numPr>
        <w:jc w:val="both"/>
        <w:rPr>
          <w:rFonts w:cstheme="minorHAnsi"/>
          <w:sz w:val="20"/>
          <w:szCs w:val="20"/>
        </w:rPr>
      </w:pPr>
      <w:r>
        <w:rPr>
          <w:rFonts w:cstheme="minorHAnsi"/>
          <w:sz w:val="20"/>
          <w:szCs w:val="20"/>
        </w:rPr>
        <w:t>Designed format-lock and quality-gate checks (shell fingerprint, hyperlink preservation, Word PDF one-page validation, evidence-linked bullets) so delivery copies keep master fonts, margins, and list styles without rebuilding the document</w:t>
      </w:r>
    </w:p>
    <w:p w14:paraId="72102694" w14:textId="48EF3F9E" w:rsidR="006116A1" w:rsidRDefault="009E5995" w:rsidP="006116A1">
      <w:pPr>
        <w:pStyle w:val="ae"/>
        <w:numPr>
          <w:ilvl w:val="0"/>
          <w:numId w:val="40"/>
        </w:numPr>
        <w:jc w:val="both"/>
        <w:rPr>
          <w:rFonts w:cstheme="minorHAnsi"/>
          <w:sz w:val="20"/>
          <w:szCs w:val="20"/>
        </w:rPr>
      </w:pPr>
      <w:r>
        <w:rPr>
          <w:rFonts w:cstheme="minorHAnsi"/>
          <w:sz w:val="20"/>
          <w:szCs w:val="20"/>
        </w:rPr>
        <w:t>Used fixture JDs spanning risk and pricing roles to validate that tailored bullets stay evidence-linked and the delivery PDF remains exactly one page</w:t>
      </w:r>
    </w:p>
    <w:p w14:paraId="0D636CA6" w14:textId="E6D09E84" w:rsidR="006116A1" w:rsidRPr="00596492" w:rsidRDefault="006116A1" w:rsidP="006116A1">
      <w:pPr>
        <w:pStyle w:val="ae"/>
        <w:jc w:val="both"/>
        <w:rPr>
          <w:rFonts w:cstheme="minorHAnsi"/>
          <w:sz w:val="8"/>
          <w:szCs w:val="8"/>
        </w:rPr>
      </w:pP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Credit Risk, Claims Modeling, Tableau, Apache Airflow, data cleaning, feature engineering, exploratory analysis, Pandas, NumPy, scikit-learn, XGBoost, Monte Carlo Simulation,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