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b/>
          <w:sz w:val="32"/>
        </w:rPr>
        <w:t>Statistics QC and Review Companion Checklists</w:t>
      </w:r>
    </w:p>
    <w:p>
      <w:pPr>
        <w:spacing w:after="80" w:line="240" w:lineRule="auto"/>
        <w:jc w:val="center"/>
      </w:pPr>
      <w:r>
        <w:rPr>
          <w:i/>
          <w:sz w:val="20"/>
        </w:rPr>
        <w:t>For Copilot-style agents reviewing oncology, non-oncology interventional, and observational clinical manuscripts</w:t>
      </w:r>
    </w:p>
    <w:p>
      <w:pPr>
        <w:spacing w:after="80" w:line="240" w:lineRule="auto"/>
      </w:pPr>
      <w:r>
        <w:rPr>
          <w:sz w:val="18"/>
        </w:rPr>
        <w:t>Purpose: These companion checklists organize oncology, non-oncology interventional, observational, numerical accuracy, and formatting QC into aligned human-in-the-loop review modules. They are designed for human-in-the-loop QC, not automated sign-off.</w:t>
      </w:r>
    </w:p>
    <w:p>
      <w:pPr>
        <w:pStyle w:val="Heading1"/>
        <w:keepNext w:val="1"/>
      </w:pPr>
      <w:r>
        <w:t>How an agent should use these checklists</w:t>
      </w:r>
    </w:p>
    <w:p>
      <w:pPr>
        <w:pStyle w:val="ListBullet"/>
      </w:pPr>
      <w:r>
        <w:t>First classify the study as oncology interventional, non-oncology interventional, or observational; if mixed, apply more than one checklist.</w:t>
      </w:r>
    </w:p>
    <w:p>
      <w:pPr>
        <w:pStyle w:val="ListBullet"/>
      </w:pPr>
      <w:r>
        <w:t>Before scoring, look for the protocol, SAP, registry entry, manuscript, TLFs, CSR excerpts, data-source documentation, and any reviewer instructions.</w:t>
      </w:r>
    </w:p>
    <w:p>
      <w:pPr>
        <w:pStyle w:val="ListBullet"/>
      </w:pPr>
      <w:r>
        <w:t>For every item, return Status (Yes/No/N/A/Unclear), Evidence found, Risk level, Issue, and Suggested fix or manuscript wording.</w:t>
      </w:r>
    </w:p>
    <w:p>
      <w:pPr>
        <w:pStyle w:val="ListBullet"/>
      </w:pPr>
      <w:r>
        <w:t>Do not infer prespecification, multiplicity control, missing-data handling, or causal validity without explicit evidence.</w:t>
      </w:r>
    </w:p>
    <w:p>
      <w:pPr>
        <w:pStyle w:val="ListBullet"/>
      </w:pPr>
      <w:r>
        <w:t>Flag critical gaps for statistician review rather than resolving them by model knowledge alone.</w:t>
      </w:r>
    </w:p>
    <w:p>
      <w:pPr>
        <w:pStyle w:val="Heading1"/>
        <w:keepNext w:val="1"/>
      </w:pPr>
      <w:r>
        <w:t>Recommended output fields for each checklist item</w:t>
      </w:r>
    </w:p>
    <w:tbl>
      <w:tblPr>
        <w:tblStyle w:val="TableGrid"/>
        <w:tblW w:type="auto" w:w="0"/>
        <w:tblLayout w:type="autofit"/>
        <w:tblLook w:firstColumn="1" w:firstRow="1" w:lastColumn="0" w:lastRow="0" w:noHBand="0" w:noVBand="1" w:val="04A0"/>
      </w:tblPr>
      <w:tblGrid>
        <w:gridCol w:w="2909"/>
        <w:gridCol w:w="2909"/>
        <w:gridCol w:w="2909"/>
        <w:gridCol w:w="2909"/>
        <w:gridCol w:w="2909"/>
      </w:tblGrid>
      <w:tr>
        <w:tc>
          <w:tcPr>
            <w:tcW w:type="dxa" w:w="2909"/>
            <w:shd w:fill="D9EAF7"/>
          </w:tcPr>
          <w:p>
            <w:r>
              <w:rPr>
                <w:b/>
                <w:sz w:val="17"/>
              </w:rPr>
              <w:t>Item</w:t>
            </w:r>
          </w:p>
        </w:tc>
        <w:tc>
          <w:tcPr>
            <w:tcW w:type="dxa" w:w="2909"/>
            <w:shd w:fill="D9EAF7"/>
          </w:tcPr>
          <w:p>
            <w:r>
              <w:rPr>
                <w:b/>
                <w:sz w:val="17"/>
              </w:rPr>
              <w:t>Status</w:t>
            </w:r>
          </w:p>
        </w:tc>
        <w:tc>
          <w:tcPr>
            <w:tcW w:type="dxa" w:w="2909"/>
            <w:shd w:fill="D9EAF7"/>
          </w:tcPr>
          <w:p>
            <w:r>
              <w:rPr>
                <w:b/>
                <w:sz w:val="17"/>
              </w:rPr>
              <w:t>Evidence</w:t>
            </w:r>
          </w:p>
        </w:tc>
        <w:tc>
          <w:tcPr>
            <w:tcW w:type="dxa" w:w="2909"/>
            <w:shd w:fill="D9EAF7"/>
          </w:tcPr>
          <w:p>
            <w:r>
              <w:rPr>
                <w:b/>
                <w:sz w:val="17"/>
              </w:rPr>
              <w:t>Risk</w:t>
            </w:r>
          </w:p>
        </w:tc>
        <w:tc>
          <w:tcPr>
            <w:tcW w:type="dxa" w:w="2909"/>
            <w:shd w:fill="D9EAF7"/>
          </w:tcPr>
          <w:p>
            <w:r>
              <w:rPr>
                <w:b/>
                <w:sz w:val="17"/>
              </w:rPr>
              <w:t>Recommended action</w:t>
            </w:r>
          </w:p>
        </w:tc>
      </w:tr>
      <w:tr>
        <w:tc>
          <w:tcPr>
            <w:tcW w:type="dxa" w:w="2909"/>
          </w:tcPr>
          <w:p>
            <w:r>
              <w:rPr>
                <w:sz w:val="17"/>
              </w:rPr>
              <w:t>1</w:t>
            </w:r>
          </w:p>
        </w:tc>
        <w:tc>
          <w:tcPr>
            <w:tcW w:type="dxa" w:w="2909"/>
          </w:tcPr>
          <w:p>
            <w:r>
              <w:rPr>
                <w:sz w:val="17"/>
              </w:rPr>
              <w:t>Yes / No / N/A / Unclear</w:t>
            </w:r>
          </w:p>
        </w:tc>
        <w:tc>
          <w:tcPr>
            <w:tcW w:type="dxa" w:w="2909"/>
          </w:tcPr>
          <w:p>
            <w:r>
              <w:rPr>
                <w:sz w:val="17"/>
              </w:rPr>
              <w:t>Quote or cite document section/table</w:t>
            </w:r>
          </w:p>
        </w:tc>
        <w:tc>
          <w:tcPr>
            <w:tcW w:type="dxa" w:w="2909"/>
          </w:tcPr>
          <w:p>
            <w:r>
              <w:rPr>
                <w:sz w:val="17"/>
              </w:rPr>
              <w:t>Low / Medium / High / Critical</w:t>
            </w:r>
          </w:p>
        </w:tc>
        <w:tc>
          <w:tcPr>
            <w:tcW w:type="dxa" w:w="2909"/>
          </w:tcPr>
          <w:p>
            <w:r>
              <w:rPr>
                <w:sz w:val="17"/>
              </w:rPr>
              <w:t>No action, revise text, request evidence, or escalate</w:t>
            </w:r>
          </w:p>
        </w:tc>
      </w:tr>
    </w:tbl>
    <w:p>
      <w:pPr>
        <w:spacing w:after="80" w:line="240" w:lineRule="auto"/>
      </w:pPr>
      <w:r>
        <w:rPr>
          <w:sz w:val="18"/>
        </w:rPr>
        <w:br w:type="page"/>
      </w:r>
    </w:p>
    <w:p>
      <w:pPr>
        <w:pStyle w:val="Heading1"/>
      </w:pPr>
      <w:r>
        <w:t>Checklist 1 - Oncology interventional studies</w:t>
      </w:r>
    </w:p>
    <w:p>
      <w:pPr>
        <w:spacing w:after="80" w:line="240" w:lineRule="auto"/>
      </w:pPr>
      <w:r>
        <w:rPr>
          <w:sz w:val="18"/>
        </w:rPr>
        <w:t>Use for oncology clinical studies, including randomized, single-arm, dose-expansion, biomarker-selected, adaptive, and externally controlled designs. Emphasize endpoint definitions, response assessment, time-to-event censoring, biomarker/subgroup claims, and benefit-risk interpretation.</w:t>
      </w:r>
    </w:p>
    <w:tbl>
      <w:tblGrid>
        <w:gridCol w:w="792"/>
        <w:gridCol w:w="12600"/>
        <w:gridCol w:w="1800"/>
      </w:tblGrid>
      <w:tblPr>
        <w:tblStyle w:val="TableGrid"/>
        <w:tblW w:type="auto" w:w="0"/>
        <w:jc w:val="center"/>
        <w:tblLayout w:type="fixed"/>
        <w:tblLook w:firstColumn="1" w:firstRow="1" w:lastColumn="0" w:lastRow="0" w:noHBand="0" w:noVBand="1" w:val="04A0"/>
      </w:tblPr>
      <w:tr>
        <w:trPr>
          <w:tblHeader w:val="true"/>
        </w:trPr>
        <w:tc>
          <w:tcPr>
            <w:tcW w:type="dxa" w:w="792"/>
            <w:shd w:fill="D9EAF7"/>
            <w:vAlign w:val="center"/>
          </w:tcPr>
          <w:p>
            <w:pPr>
              <w:spacing w:after="0"/>
              <w:jc w:val="center"/>
            </w:pPr>
            <w:r>
              <w:rPr>
                <w:b/>
                <w:sz w:val="16"/>
              </w:rPr>
              <w:t>Item</w:t>
            </w:r>
          </w:p>
        </w:tc>
        <w:tc>
          <w:tcPr>
            <w:tcW w:type="dxa" w:w="12600"/>
            <w:shd w:fill="D9EAF7"/>
            <w:vAlign w:val="center"/>
          </w:tcPr>
          <w:p>
            <w:pPr>
              <w:spacing w:after="0"/>
              <w:jc w:val="center"/>
            </w:pPr>
            <w:r>
              <w:rPr>
                <w:b/>
                <w:sz w:val="16"/>
              </w:rPr>
              <w:t>Checklist item + concise rationale</w:t>
            </w:r>
          </w:p>
        </w:tc>
        <w:tc>
          <w:tcPr>
            <w:tcW w:type="dxa" w:w="1800"/>
            <w:shd w:fill="D9EAF7"/>
            <w:vAlign w:val="center"/>
          </w:tcPr>
          <w:p>
            <w:pPr>
              <w:spacing w:after="0"/>
              <w:jc w:val="center"/>
            </w:pPr>
            <w:r>
              <w:rPr>
                <w:b/>
                <w:sz w:val="16"/>
              </w:rPr>
              <w:t>Checked?</w:t>
            </w:r>
          </w:p>
        </w:tc>
      </w:tr>
      <w:tr>
        <w:trPr>
          <w:cantSplit/>
        </w:trPr>
        <w:tc>
          <w:tcPr>
            <w:tcW w:type="dxa" w:w="792"/>
            <w:vAlign w:val="top"/>
          </w:tcPr>
          <w:p>
            <w:pPr>
              <w:spacing w:after="0"/>
              <w:jc w:val="center"/>
            </w:pPr>
            <w:r>
              <w:rPr>
                <w:b/>
                <w:sz w:val="16"/>
              </w:rPr>
              <w:t>1</w:t>
            </w:r>
          </w:p>
        </w:tc>
        <w:tc>
          <w:tcPr>
            <w:tcW w:type="dxa" w:w="12600"/>
            <w:vAlign w:val="top"/>
          </w:tcPr>
          <w:p>
            <w:pPr>
              <w:spacing w:after="0" w:line="240" w:lineRule="auto"/>
            </w:pPr>
            <w:r/>
            <w:r>
              <w:rPr>
                <w:b/>
                <w:sz w:val="16"/>
              </w:rPr>
              <w:t xml:space="preserve">Check: </w:t>
            </w:r>
            <w:r>
              <w:rPr>
                <w:sz w:val="15"/>
              </w:rPr>
              <w:t>Confirm the cancer type, line of therapy, biomarker-defined population, treatment setting, comparator, endpoint, and follow-up match the clinical question.</w:t>
            </w:r>
          </w:p>
          <w:p>
            <w:pPr>
              <w:spacing w:after="0" w:line="240" w:lineRule="auto"/>
            </w:pPr>
            <w:r>
              <w:rPr>
                <w:b/>
                <w:sz w:val="16"/>
              </w:rPr>
              <w:t xml:space="preserve">Why: </w:t>
            </w:r>
            <w:r>
              <w:rPr>
                <w:sz w:val="15"/>
              </w:rPr>
              <w:t>Oncology interpretation depends heavily on disease context, prior therapy, prognosis, biomarker status, and available standard of care.</w:t>
            </w:r>
          </w:p>
          <w:p>
            <w:pPr>
              <w:spacing w:after="0" w:line="240" w:lineRule="auto"/>
            </w:pPr>
            <w:r>
              <w:rPr>
                <w:b/>
                <w:sz w:val="16"/>
              </w:rPr>
              <w:t xml:space="preserve">Evidence: </w:t>
            </w:r>
            <w:r>
              <w:rPr>
                <w:sz w:val="15"/>
              </w:rPr>
              <w:t>Protocol/SAP/registry; disease and treatment-setting rationale; inclusion/exclusion criteria; comparator and follow-up justification.</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2</w:t>
            </w:r>
          </w:p>
        </w:tc>
        <w:tc>
          <w:tcPr>
            <w:tcW w:type="dxa" w:w="12600"/>
            <w:vAlign w:val="top"/>
          </w:tcPr>
          <w:p>
            <w:pPr>
              <w:spacing w:after="0" w:line="240" w:lineRule="auto"/>
            </w:pPr>
            <w:r/>
            <w:r>
              <w:rPr>
                <w:b/>
                <w:sz w:val="16"/>
              </w:rPr>
              <w:t xml:space="preserve">Check: </w:t>
            </w:r>
            <w:r>
              <w:rPr>
                <w:sz w:val="15"/>
              </w:rPr>
              <w:t>Verify primary, key secondary, exploratory, subgroup, biomarker, interim, and multiplicity plans were finalized before unblinding or database lock.</w:t>
            </w:r>
          </w:p>
          <w:p>
            <w:pPr>
              <w:spacing w:after="0" w:line="240" w:lineRule="auto"/>
            </w:pPr>
            <w:r>
              <w:rPr>
                <w:b/>
                <w:sz w:val="16"/>
              </w:rPr>
              <w:t xml:space="preserve">Why: </w:t>
            </w:r>
            <w:r>
              <w:rPr>
                <w:sz w:val="15"/>
              </w:rPr>
              <w:t>Prespecification prevents outcome switching, data-driven subgroup emphasis, and inflated type I error.</w:t>
            </w:r>
          </w:p>
          <w:p>
            <w:pPr>
              <w:spacing w:after="0" w:line="240" w:lineRule="auto"/>
            </w:pPr>
            <w:r>
              <w:rPr>
                <w:b/>
                <w:sz w:val="16"/>
              </w:rPr>
              <w:t xml:space="preserve">Evidence: </w:t>
            </w:r>
            <w:r>
              <w:rPr>
                <w:sz w:val="15"/>
              </w:rPr>
              <w:t>Dated protocol/SAP/registry; endpoint hierarchy; subgroup and biomarker hypotheses; amendment history with timing.</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3</w:t>
            </w:r>
          </w:p>
        </w:tc>
        <w:tc>
          <w:tcPr>
            <w:tcW w:type="dxa" w:w="12600"/>
            <w:vAlign w:val="top"/>
          </w:tcPr>
          <w:p>
            <w:pPr>
              <w:spacing w:after="0" w:line="240" w:lineRule="auto"/>
            </w:pPr>
            <w:r/>
            <w:r>
              <w:rPr>
                <w:b/>
                <w:sz w:val="16"/>
              </w:rPr>
              <w:t xml:space="preserve">Check: </w:t>
            </w:r>
            <w:r>
              <w:rPr>
                <w:sz w:val="15"/>
              </w:rPr>
              <w:t>Check definitions for OS, PFS, EFS, DFS, ORR, CR/PR, DoR, DCR, CBR, MRD, PROs, and safety; verify assessment rules and schedules.</w:t>
            </w:r>
          </w:p>
          <w:p>
            <w:pPr>
              <w:spacing w:after="0" w:line="240" w:lineRule="auto"/>
            </w:pPr>
            <w:r>
              <w:rPr>
                <w:b/>
                <w:sz w:val="16"/>
              </w:rPr>
              <w:t xml:space="preserve">Why: </w:t>
            </w:r>
            <w:r>
              <w:rPr>
                <w:sz w:val="15"/>
              </w:rPr>
              <w:t>Endpoint meaning changes with censoring rules, assessment timing, response criteria, confirmation rules, and review process.</w:t>
            </w:r>
          </w:p>
          <w:p>
            <w:pPr>
              <w:spacing w:after="0" w:line="240" w:lineRule="auto"/>
            </w:pPr>
            <w:r>
              <w:rPr>
                <w:b/>
                <w:sz w:val="16"/>
              </w:rPr>
              <w:t xml:space="preserve">Evidence: </w:t>
            </w:r>
            <w:r>
              <w:rPr>
                <w:sz w:val="15"/>
              </w:rPr>
              <w:t>SAP endpoint definitions; RECIST/iRECIST or disease-specific criteria; assessment schedule; blinded independent central review charter where applicable.</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4</w:t>
            </w:r>
          </w:p>
        </w:tc>
        <w:tc>
          <w:tcPr>
            <w:tcW w:type="dxa" w:w="12600"/>
            <w:vAlign w:val="top"/>
          </w:tcPr>
          <w:p>
            <w:pPr>
              <w:spacing w:after="0" w:line="240" w:lineRule="auto"/>
            </w:pPr>
            <w:r/>
            <w:r>
              <w:rPr>
                <w:b/>
                <w:sz w:val="16"/>
              </w:rPr>
              <w:t xml:space="preserve">Check: </w:t>
            </w:r>
            <w:r>
              <w:rPr>
                <w:sz w:val="15"/>
              </w:rPr>
              <w:t>Assess assumptions for effect size, control rate, hazard ratio, response rate, dropout, accrual, information fraction, and event/data maturity.</w:t>
            </w:r>
          </w:p>
          <w:p>
            <w:pPr>
              <w:spacing w:after="0" w:line="240" w:lineRule="auto"/>
            </w:pPr>
            <w:r>
              <w:rPr>
                <w:b/>
                <w:sz w:val="16"/>
              </w:rPr>
              <w:t xml:space="preserve">Why: </w:t>
            </w:r>
            <w:r>
              <w:rPr>
                <w:sz w:val="15"/>
              </w:rPr>
              <w:t>Immature or underpowered oncology analyses can produce unstable medians, hazard ratios, and subgroup estimates.</w:t>
            </w:r>
          </w:p>
          <w:p>
            <w:pPr>
              <w:spacing w:after="0" w:line="240" w:lineRule="auto"/>
            </w:pPr>
            <w:r>
              <w:rPr>
                <w:b/>
                <w:sz w:val="16"/>
              </w:rPr>
              <w:t xml:space="preserve">Evidence: </w:t>
            </w:r>
            <w:r>
              <w:rPr>
                <w:sz w:val="15"/>
              </w:rPr>
              <w:t>Protocol sample-size calculations; event targets; data-cutoff memo; median follow-up; maturity summaries; information fraction.</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5</w:t>
            </w:r>
          </w:p>
        </w:tc>
        <w:tc>
          <w:tcPr>
            <w:tcW w:type="dxa" w:w="12600"/>
            <w:vAlign w:val="top"/>
          </w:tcPr>
          <w:p>
            <w:pPr>
              <w:spacing w:after="0" w:line="240" w:lineRule="auto"/>
            </w:pPr>
            <w:r/>
            <w:r>
              <w:rPr>
                <w:b/>
                <w:sz w:val="16"/>
              </w:rPr>
              <w:t xml:space="preserve">Check: </w:t>
            </w:r>
            <w:r>
              <w:rPr>
                <w:sz w:val="15"/>
              </w:rPr>
              <w:t>For randomized studies, review randomization, stratification factors, allocation concealment, open-label bias controls, and central/blinded assessment.</w:t>
            </w:r>
          </w:p>
          <w:p>
            <w:pPr>
              <w:spacing w:after="0" w:line="240" w:lineRule="auto"/>
            </w:pPr>
            <w:r>
              <w:rPr>
                <w:b/>
                <w:sz w:val="16"/>
              </w:rPr>
              <w:t xml:space="preserve">Why: </w:t>
            </w:r>
            <w:r>
              <w:rPr>
                <w:sz w:val="15"/>
              </w:rPr>
              <w:t>Open-label treatment and subjective progression or response assessment can bias efficacy and safety reporting.</w:t>
            </w:r>
          </w:p>
          <w:p>
            <w:pPr>
              <w:spacing w:after="0" w:line="240" w:lineRule="auto"/>
            </w:pPr>
            <w:r>
              <w:rPr>
                <w:b/>
                <w:sz w:val="16"/>
              </w:rPr>
              <w:t xml:space="preserve">Evidence: </w:t>
            </w:r>
            <w:r>
              <w:rPr>
                <w:sz w:val="15"/>
              </w:rPr>
              <w:t>Randomization specifications; IRT/IWRS documentation; stratification factor checks; blinded review or adjudication procedures.</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6</w:t>
            </w:r>
          </w:p>
        </w:tc>
        <w:tc>
          <w:tcPr>
            <w:tcW w:type="dxa" w:w="12600"/>
            <w:vAlign w:val="top"/>
          </w:tcPr>
          <w:p>
            <w:pPr>
              <w:spacing w:after="0" w:line="240" w:lineRule="auto"/>
            </w:pPr>
            <w:r/>
            <w:r>
              <w:rPr>
                <w:b/>
                <w:sz w:val="16"/>
              </w:rPr>
              <w:t xml:space="preserve">Check: </w:t>
            </w:r>
            <w:r>
              <w:rPr>
                <w:sz w:val="15"/>
              </w:rPr>
              <w:t>Confirm estimands define population, variable, treatment condition, intercurrent-event strategy, and summary measure, including death, new anticancer therapy, discontinuation, and crossover.</w:t>
            </w:r>
          </w:p>
          <w:p>
            <w:pPr>
              <w:spacing w:after="0" w:line="240" w:lineRule="auto"/>
            </w:pPr>
            <w:r>
              <w:rPr>
                <w:b/>
                <w:sz w:val="16"/>
              </w:rPr>
              <w:t xml:space="preserve">Why: </w:t>
            </w:r>
            <w:r>
              <w:rPr>
                <w:sz w:val="15"/>
              </w:rPr>
              <w:t>Intercurrent events are common in oncology and can change the clinical question behind PFS, OS, response, PROs, and safety outcomes.</w:t>
            </w:r>
          </w:p>
          <w:p>
            <w:pPr>
              <w:spacing w:after="0" w:line="240" w:lineRule="auto"/>
            </w:pPr>
            <w:r>
              <w:rPr>
                <w:b/>
                <w:sz w:val="16"/>
              </w:rPr>
              <w:t xml:space="preserve">Evidence: </w:t>
            </w:r>
            <w:r>
              <w:rPr>
                <w:sz w:val="15"/>
              </w:rPr>
              <w:t>Protocol/SAP estimand table; censoring and treatment-policy rules; crossover and subsequent-therapy handling; estimand-to-analysis alignment.</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7</w:t>
            </w:r>
          </w:p>
        </w:tc>
        <w:tc>
          <w:tcPr>
            <w:tcW w:type="dxa" w:w="12600"/>
            <w:vAlign w:val="top"/>
          </w:tcPr>
          <w:p>
            <w:pPr>
              <w:spacing w:after="0" w:line="240" w:lineRule="auto"/>
            </w:pPr>
            <w:r/>
            <w:r>
              <w:rPr>
                <w:b/>
                <w:sz w:val="16"/>
              </w:rPr>
              <w:t xml:space="preserve">Check: </w:t>
            </w:r>
            <w:r>
              <w:rPr>
                <w:sz w:val="15"/>
              </w:rPr>
              <w:t>Evaluate alpha control across endpoints, doses, cohorts, subgroups, biomarkers, interim looks, futility/efficacy stopping, and adaptive decisions.</w:t>
            </w:r>
          </w:p>
          <w:p>
            <w:pPr>
              <w:spacing w:after="0" w:line="240" w:lineRule="auto"/>
            </w:pPr>
            <w:r>
              <w:rPr>
                <w:b/>
                <w:sz w:val="16"/>
              </w:rPr>
              <w:t xml:space="preserve">Why: </w:t>
            </w:r>
            <w:r>
              <w:rPr>
                <w:sz w:val="15"/>
              </w:rPr>
              <w:t>Multiple endpoints and repeated looks can make nominally significant findings appear confirmatory when they are not.</w:t>
            </w:r>
          </w:p>
          <w:p>
            <w:pPr>
              <w:spacing w:after="0" w:line="240" w:lineRule="auto"/>
            </w:pPr>
            <w:r>
              <w:rPr>
                <w:b/>
                <w:sz w:val="16"/>
              </w:rPr>
              <w:t xml:space="preserve">Evidence: </w:t>
            </w:r>
            <w:r>
              <w:rPr>
                <w:sz w:val="15"/>
              </w:rPr>
              <w:t>Gatekeeping or hierarchy plan; alpha allocation/spending; IDMC/DMC charter; interim analysis rules; adjusted p-values.</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8</w:t>
            </w:r>
          </w:p>
        </w:tc>
        <w:tc>
          <w:tcPr>
            <w:tcW w:type="dxa" w:w="12600"/>
            <w:vAlign w:val="top"/>
          </w:tcPr>
          <w:p>
            <w:pPr>
              <w:spacing w:after="0" w:line="240" w:lineRule="auto"/>
            </w:pPr>
            <w:r/>
            <w:r>
              <w:rPr>
                <w:b/>
                <w:sz w:val="16"/>
              </w:rPr>
              <w:t xml:space="preserve">Check: </w:t>
            </w:r>
            <w:r>
              <w:rPr>
                <w:sz w:val="15"/>
              </w:rPr>
              <w:t>Verify ITT/FAS, safety, response-evaluable, biomarker-evaluable, per-protocol, and as-treated populations; reconcile screened, randomized, treated, and analyzed counts.</w:t>
            </w:r>
          </w:p>
          <w:p>
            <w:pPr>
              <w:spacing w:after="0" w:line="240" w:lineRule="auto"/>
            </w:pPr>
            <w:r>
              <w:rPr>
                <w:b/>
                <w:sz w:val="16"/>
              </w:rPr>
              <w:t xml:space="preserve">Why: </w:t>
            </w:r>
            <w:r>
              <w:rPr>
                <w:sz w:val="15"/>
              </w:rPr>
              <w:t>Efficacy and biomarker subsets can exclude patients in ways that affect interpretability and generalizability.</w:t>
            </w:r>
          </w:p>
          <w:p>
            <w:pPr>
              <w:spacing w:after="0" w:line="240" w:lineRule="auto"/>
            </w:pPr>
            <w:r>
              <w:rPr>
                <w:b/>
                <w:sz w:val="16"/>
              </w:rPr>
              <w:t xml:space="preserve">Evidence: </w:t>
            </w:r>
            <w:r>
              <w:rPr>
                <w:sz w:val="15"/>
              </w:rPr>
              <w:t>Population definitions; disposition table; biomarker availability flow; exclusion reasons; analysis-population flags and listings.</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9</w:t>
            </w:r>
          </w:p>
        </w:tc>
        <w:tc>
          <w:tcPr>
            <w:tcW w:type="dxa" w:w="12600"/>
            <w:vAlign w:val="top"/>
          </w:tcPr>
          <w:p>
            <w:pPr>
              <w:spacing w:after="0" w:line="240" w:lineRule="auto"/>
            </w:pPr>
            <w:r/>
            <w:r>
              <w:rPr>
                <w:b/>
                <w:sz w:val="16"/>
              </w:rPr>
              <w:t xml:space="preserve">Check: </w:t>
            </w:r>
            <w:r>
              <w:rPr>
                <w:sz w:val="15"/>
              </w:rPr>
              <w:t>Quantify missing assessments, skipped visits, censoring, loss to follow-up, discontinuation, and differential follow-up by arm or cohort.</w:t>
            </w:r>
          </w:p>
          <w:p>
            <w:pPr>
              <w:spacing w:after="0" w:line="240" w:lineRule="auto"/>
            </w:pPr>
            <w:r>
              <w:rPr>
                <w:b/>
                <w:sz w:val="16"/>
              </w:rPr>
              <w:t xml:space="preserve">Why: </w:t>
            </w:r>
            <w:r>
              <w:rPr>
                <w:sz w:val="15"/>
              </w:rPr>
              <w:t>Missing tumor assessments and informative censoring can bias PFS, response, PROs, and safety conclusions.</w:t>
            </w:r>
          </w:p>
          <w:p>
            <w:pPr>
              <w:spacing w:after="0" w:line="240" w:lineRule="auto"/>
            </w:pPr>
            <w:r>
              <w:rPr>
                <w:b/>
                <w:sz w:val="16"/>
              </w:rPr>
              <w:t xml:space="preserve">Evidence: </w:t>
            </w:r>
            <w:r>
              <w:rPr>
                <w:sz w:val="15"/>
              </w:rPr>
              <w:t>Missing assessment tables; censoring summaries; follow-up duration; visit-window rules; sensitivity analyses for missing/censored data.</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10</w:t>
            </w:r>
          </w:p>
        </w:tc>
        <w:tc>
          <w:tcPr>
            <w:tcW w:type="dxa" w:w="12600"/>
            <w:vAlign w:val="top"/>
          </w:tcPr>
          <w:p>
            <w:pPr>
              <w:spacing w:after="0" w:line="240" w:lineRule="auto"/>
            </w:pPr>
            <w:r/>
            <w:r>
              <w:rPr>
                <w:b/>
                <w:sz w:val="16"/>
              </w:rPr>
              <w:t xml:space="preserve">Check: </w:t>
            </w:r>
            <w:r>
              <w:rPr>
                <w:sz w:val="15"/>
              </w:rPr>
              <w:t>Check event definitions, censoring dates, analysis-time units, numbers at risk, landmark estimates, median estimates, hazard ratios, and proportional-hazards assumptions.</w:t>
            </w:r>
          </w:p>
          <w:p>
            <w:pPr>
              <w:spacing w:after="0" w:line="240" w:lineRule="auto"/>
            </w:pPr>
            <w:r>
              <w:rPr>
                <w:b/>
                <w:sz w:val="16"/>
              </w:rPr>
              <w:t xml:space="preserve">Why: </w:t>
            </w:r>
            <w:r>
              <w:rPr>
                <w:sz w:val="15"/>
              </w:rPr>
              <w:t>PFS, OS, DFS, EFS, and DoR are highly sensitive to censoring, event adjudication, assessment schedule, and data cutoff.</w:t>
            </w:r>
          </w:p>
          <w:p>
            <w:pPr>
              <w:spacing w:after="0" w:line="240" w:lineRule="auto"/>
            </w:pPr>
            <w:r>
              <w:rPr>
                <w:b/>
                <w:sz w:val="16"/>
              </w:rPr>
              <w:t xml:space="preserve">Evidence: </w:t>
            </w:r>
            <w:r>
              <w:rPr>
                <w:sz w:val="15"/>
              </w:rPr>
              <w:t>KM outputs; censoring listings; number-at-risk tables; event derivation specs; PH diagnostics; alternative time-to-event analyses.</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11</w:t>
            </w:r>
          </w:p>
        </w:tc>
        <w:tc>
          <w:tcPr>
            <w:tcW w:type="dxa" w:w="12600"/>
            <w:vAlign w:val="top"/>
          </w:tcPr>
          <w:p>
            <w:pPr>
              <w:spacing w:after="0" w:line="240" w:lineRule="auto"/>
            </w:pPr>
            <w:r/>
            <w:r>
              <w:rPr>
                <w:b/>
                <w:sz w:val="16"/>
              </w:rPr>
              <w:t xml:space="preserve">Check: </w:t>
            </w:r>
            <w:r>
              <w:rPr>
                <w:sz w:val="15"/>
              </w:rPr>
              <w:t>Verify response criteria, best overall response derivation, confirmation timing, target/non-target lesion rules, missing scans, and independent review versus investigator assessment.</w:t>
            </w:r>
          </w:p>
          <w:p>
            <w:pPr>
              <w:spacing w:after="0" w:line="240" w:lineRule="auto"/>
            </w:pPr>
            <w:r>
              <w:rPr>
                <w:b/>
                <w:sz w:val="16"/>
              </w:rPr>
              <w:t xml:space="preserve">Why: </w:t>
            </w:r>
            <w:r>
              <w:rPr>
                <w:sz w:val="15"/>
              </w:rPr>
              <w:t>ORR, DCR, CBR, and DoR can be overstated if confirmation, evaluability, or assessment-source rules are unclear.</w:t>
            </w:r>
          </w:p>
          <w:p>
            <w:pPr>
              <w:spacing w:after="0" w:line="240" w:lineRule="auto"/>
            </w:pPr>
            <w:r>
              <w:rPr>
                <w:b/>
                <w:sz w:val="16"/>
              </w:rPr>
              <w:t xml:space="preserve">Evidence: </w:t>
            </w:r>
            <w:r>
              <w:rPr>
                <w:sz w:val="15"/>
              </w:rPr>
              <w:t>Response listings; radiology review outputs; confirmation rules; discordance summaries; response endpoint derivation specifications.</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12</w:t>
            </w:r>
          </w:p>
        </w:tc>
        <w:tc>
          <w:tcPr>
            <w:tcW w:type="dxa" w:w="12600"/>
            <w:vAlign w:val="top"/>
          </w:tcPr>
          <w:p>
            <w:pPr>
              <w:spacing w:after="0" w:line="240" w:lineRule="auto"/>
            </w:pPr>
            <w:r/>
            <w:r>
              <w:rPr>
                <w:b/>
                <w:sz w:val="16"/>
              </w:rPr>
              <w:t xml:space="preserve">Check: </w:t>
            </w:r>
            <w:r>
              <w:rPr>
                <w:sz w:val="15"/>
              </w:rPr>
              <w:t>For single-arm studies, label efficacy as uncontrolled unless external or historical comparisons use justified methods; avoid causal or comparative claims without a valid comparator.</w:t>
            </w:r>
          </w:p>
          <w:p>
            <w:pPr>
              <w:spacing w:after="0" w:line="240" w:lineRule="auto"/>
            </w:pPr>
            <w:r>
              <w:rPr>
                <w:b/>
                <w:sz w:val="16"/>
              </w:rPr>
              <w:t xml:space="preserve">Why: </w:t>
            </w:r>
            <w:r>
              <w:rPr>
                <w:sz w:val="15"/>
              </w:rPr>
              <w:t>Single-arm oncology studies can be useful but cannot separate treatment effect from patient selection, prognosis, or assessment differences.</w:t>
            </w:r>
          </w:p>
          <w:p>
            <w:pPr>
              <w:spacing w:after="0" w:line="240" w:lineRule="auto"/>
            </w:pPr>
            <w:r>
              <w:rPr>
                <w:b/>
                <w:sz w:val="16"/>
              </w:rPr>
              <w:t xml:space="preserve">Evidence: </w:t>
            </w:r>
            <w:r>
              <w:rPr>
                <w:sz w:val="15"/>
              </w:rPr>
              <w:t>External-control rationale; historical benchmark source; eligibility and outcome-definition comparability; sensitivity analyses; cautious wording.</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13</w:t>
            </w:r>
          </w:p>
        </w:tc>
        <w:tc>
          <w:tcPr>
            <w:tcW w:type="dxa" w:w="12600"/>
            <w:vAlign w:val="top"/>
          </w:tcPr>
          <w:p>
            <w:pPr>
              <w:spacing w:after="0" w:line="240" w:lineRule="auto"/>
            </w:pPr>
            <w:r/>
            <w:r>
              <w:rPr>
                <w:b/>
                <w:sz w:val="16"/>
              </w:rPr>
              <w:t xml:space="preserve">Check: </w:t>
            </w:r>
            <w:r>
              <w:rPr>
                <w:sz w:val="15"/>
              </w:rPr>
              <w:t>Confirm subgroup and biomarker analyses are prespecified, clinically justified, adequately sized, and interpreted using interaction or treatment-by-marker evidence when applicable.</w:t>
            </w:r>
          </w:p>
          <w:p>
            <w:pPr>
              <w:spacing w:after="0" w:line="240" w:lineRule="auto"/>
            </w:pPr>
            <w:r>
              <w:rPr>
                <w:b/>
                <w:sz w:val="16"/>
              </w:rPr>
              <w:t xml:space="preserve">Why: </w:t>
            </w:r>
            <w:r>
              <w:rPr>
                <w:sz w:val="15"/>
              </w:rPr>
              <w:t>Small subgroups and multiple biomarkers are prone to chance findings, sparse data, and false discovery.</w:t>
            </w:r>
          </w:p>
          <w:p>
            <w:pPr>
              <w:spacing w:after="0" w:line="240" w:lineRule="auto"/>
            </w:pPr>
            <w:r>
              <w:rPr>
                <w:b/>
                <w:sz w:val="16"/>
              </w:rPr>
              <w:t xml:space="preserve">Evidence: </w:t>
            </w:r>
            <w:r>
              <w:rPr>
                <w:sz w:val="15"/>
              </w:rPr>
              <w:t>SAP subgroup list; biomarker assay validation; interaction estimates/CIs; multiplicity plan; exploratory labels.</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14</w:t>
            </w:r>
          </w:p>
        </w:tc>
        <w:tc>
          <w:tcPr>
            <w:tcW w:type="dxa" w:w="12600"/>
            <w:vAlign w:val="top"/>
          </w:tcPr>
          <w:p>
            <w:pPr>
              <w:spacing w:after="0" w:line="240" w:lineRule="auto"/>
            </w:pPr>
            <w:r/>
            <w:r>
              <w:rPr>
                <w:b/>
                <w:sz w:val="16"/>
              </w:rPr>
              <w:t xml:space="preserve">Check: </w:t>
            </w:r>
            <w:r>
              <w:rPr>
                <w:sz w:val="15"/>
              </w:rPr>
              <w:t>If comparing with other trials or external controls, require formal methods, similarity checks, endpoint alignment, and uncertainty; otherwise label as descriptive.</w:t>
            </w:r>
          </w:p>
          <w:p>
            <w:pPr>
              <w:spacing w:after="0" w:line="240" w:lineRule="auto"/>
            </w:pPr>
            <w:r>
              <w:rPr>
                <w:b/>
                <w:sz w:val="16"/>
              </w:rPr>
              <w:t xml:space="preserve">Why: </w:t>
            </w:r>
            <w:r>
              <w:rPr>
                <w:sz w:val="15"/>
              </w:rPr>
              <w:t>Differences in eligibility, assessment schedules, therapy line, follow-up, supportive care, and data cutoff can confound naive comparisons.</w:t>
            </w:r>
          </w:p>
          <w:p>
            <w:pPr>
              <w:spacing w:after="0" w:line="240" w:lineRule="auto"/>
            </w:pPr>
            <w:r>
              <w:rPr>
                <w:b/>
                <w:sz w:val="16"/>
              </w:rPr>
              <w:t xml:space="preserve">Evidence: </w:t>
            </w:r>
            <w:r>
              <w:rPr>
                <w:sz w:val="15"/>
              </w:rPr>
              <w:t>Anchored or unanchored indirect comparison plan; MAIC/STC/NMA/external-control documentation; covariate balance; sensitivity analyses.</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15</w:t>
            </w:r>
          </w:p>
        </w:tc>
        <w:tc>
          <w:tcPr>
            <w:tcW w:type="dxa" w:w="12600"/>
            <w:vAlign w:val="top"/>
          </w:tcPr>
          <w:p>
            <w:pPr>
              <w:spacing w:after="0" w:line="240" w:lineRule="auto"/>
            </w:pPr>
            <w:r/>
            <w:r>
              <w:rPr>
                <w:b/>
                <w:sz w:val="16"/>
              </w:rPr>
              <w:t xml:space="preserve">Check: </w:t>
            </w:r>
            <w:r>
              <w:rPr>
                <w:sz w:val="15"/>
              </w:rPr>
              <w:t>Assess whether pooling is clinically and methodologically justified and whether heterogeneity, dose differences, cohort expansion, and study effects are addressed.</w:t>
            </w:r>
          </w:p>
          <w:p>
            <w:pPr>
              <w:spacing w:after="0" w:line="240" w:lineRule="auto"/>
            </w:pPr>
            <w:r>
              <w:rPr>
                <w:b/>
                <w:sz w:val="16"/>
              </w:rPr>
              <w:t xml:space="preserve">Why: </w:t>
            </w:r>
            <w:r>
              <w:rPr>
                <w:sz w:val="15"/>
              </w:rPr>
              <w:t>Pooling can hide effect modification, dose-response differences, and cohort-specific safety or efficacy signals.</w:t>
            </w:r>
          </w:p>
          <w:p>
            <w:pPr>
              <w:spacing w:after="0" w:line="240" w:lineRule="auto"/>
            </w:pPr>
            <w:r>
              <w:rPr>
                <w:b/>
                <w:sz w:val="16"/>
              </w:rPr>
              <w:t xml:space="preserve">Evidence: </w:t>
            </w:r>
            <w:r>
              <w:rPr>
                <w:sz w:val="15"/>
              </w:rPr>
              <w:t>Pooling rationale; heterogeneity summaries; fixed/random-effect model choice; cohort/dose sensitivity analyses; outlier checks.</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16</w:t>
            </w:r>
          </w:p>
        </w:tc>
        <w:tc>
          <w:tcPr>
            <w:tcW w:type="dxa" w:w="12600"/>
            <w:vAlign w:val="top"/>
          </w:tcPr>
          <w:p>
            <w:pPr>
              <w:spacing w:after="0" w:line="240" w:lineRule="auto"/>
            </w:pPr>
            <w:r/>
            <w:r>
              <w:rPr>
                <w:b/>
                <w:sz w:val="16"/>
              </w:rPr>
              <w:t xml:space="preserve">Check: </w:t>
            </w:r>
            <w:r>
              <w:rPr>
                <w:sz w:val="15"/>
              </w:rPr>
              <w:t>Check proportional hazards, model form, covariate coding, influential observations, competing risks, missingness assumptions, and alternative analysis sets or endpoints.</w:t>
            </w:r>
          </w:p>
          <w:p>
            <w:pPr>
              <w:spacing w:after="0" w:line="240" w:lineRule="auto"/>
            </w:pPr>
            <w:r>
              <w:rPr>
                <w:b/>
                <w:sz w:val="16"/>
              </w:rPr>
              <w:t xml:space="preserve">Why: </w:t>
            </w:r>
            <w:r>
              <w:rPr>
                <w:sz w:val="15"/>
              </w:rPr>
              <w:t>Oncology conclusions may depend on assumptions about censoring, hazards, response assessment, and analysis population.</w:t>
            </w:r>
          </w:p>
          <w:p>
            <w:pPr>
              <w:spacing w:after="0" w:line="240" w:lineRule="auto"/>
            </w:pPr>
            <w:r>
              <w:rPr>
                <w:b/>
                <w:sz w:val="16"/>
              </w:rPr>
              <w:t xml:space="preserve">Evidence: </w:t>
            </w:r>
            <w:r>
              <w:rPr>
                <w:sz w:val="15"/>
              </w:rPr>
              <w:t>Diagnostics; alternative models; sensitivity analyses; competing-risk methods where relevant; concordance/discordance summary.</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17</w:t>
            </w:r>
          </w:p>
        </w:tc>
        <w:tc>
          <w:tcPr>
            <w:tcW w:type="dxa" w:w="12600"/>
            <w:vAlign w:val="top"/>
          </w:tcPr>
          <w:p>
            <w:pPr>
              <w:spacing w:after="0" w:line="240" w:lineRule="auto"/>
            </w:pPr>
            <w:r/>
            <w:r>
              <w:rPr>
                <w:b/>
                <w:sz w:val="16"/>
              </w:rPr>
              <w:t xml:space="preserve">Check: </w:t>
            </w:r>
            <w:r>
              <w:rPr>
                <w:sz w:val="15"/>
              </w:rPr>
              <w:t>Review TEAEs, grade 3/4/5 events, SAEs, AESIs, immune-related or class-specific AEs, labs, deaths, discontinuations, dose holds/reductions, and exposure-adjusted rates.</w:t>
            </w:r>
          </w:p>
          <w:p>
            <w:pPr>
              <w:spacing w:after="0" w:line="240" w:lineRule="auto"/>
            </w:pPr>
            <w:r>
              <w:rPr>
                <w:b/>
                <w:sz w:val="16"/>
              </w:rPr>
              <w:t xml:space="preserve">Why: </w:t>
            </w:r>
            <w:r>
              <w:rPr>
                <w:sz w:val="15"/>
              </w:rPr>
              <w:t>Benefit-risk interpretation requires safety denominators, exposure duration, event severity, and dose modification context.</w:t>
            </w:r>
          </w:p>
          <w:p>
            <w:pPr>
              <w:spacing w:after="0" w:line="240" w:lineRule="auto"/>
            </w:pPr>
            <w:r>
              <w:rPr>
                <w:b/>
                <w:sz w:val="16"/>
              </w:rPr>
              <w:t xml:space="preserve">Evidence: </w:t>
            </w:r>
            <w:r>
              <w:rPr>
                <w:sz w:val="15"/>
              </w:rPr>
              <w:t>Safety analysis set; exposure summaries; MedDRA/CTCAE versions; AE listings; AESI definitions; death and SAE narratives.</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18</w:t>
            </w:r>
          </w:p>
        </w:tc>
        <w:tc>
          <w:tcPr>
            <w:tcW w:type="dxa" w:w="12600"/>
            <w:vAlign w:val="top"/>
          </w:tcPr>
          <w:p>
            <w:pPr>
              <w:spacing w:after="0" w:line="240" w:lineRule="auto"/>
            </w:pPr>
            <w:r/>
            <w:r>
              <w:rPr>
                <w:b/>
                <w:sz w:val="16"/>
              </w:rPr>
              <w:t xml:space="preserve">Check: </w:t>
            </w:r>
            <w:r>
              <w:rPr>
                <w:sz w:val="15"/>
              </w:rPr>
              <w:t>Compare manuscript, abstract, tables, figures, and supplement against the protocol, SAP, registry, and TLFs for omitted endpoints or post-hoc changes.</w:t>
            </w:r>
          </w:p>
          <w:p>
            <w:pPr>
              <w:spacing w:after="0" w:line="240" w:lineRule="auto"/>
            </w:pPr>
            <w:r>
              <w:rPr>
                <w:b/>
                <w:sz w:val="16"/>
              </w:rPr>
              <w:t xml:space="preserve">Why: </w:t>
            </w:r>
            <w:r>
              <w:rPr>
                <w:sz w:val="15"/>
              </w:rPr>
              <w:t>Undisclosed changes and selective reporting can exaggerate benefit or minimize uncertainty and harms.</w:t>
            </w:r>
          </w:p>
          <w:p>
            <w:pPr>
              <w:spacing w:after="0" w:line="240" w:lineRule="auto"/>
            </w:pPr>
            <w:r>
              <w:rPr>
                <w:b/>
                <w:sz w:val="16"/>
              </w:rPr>
              <w:t xml:space="preserve">Evidence: </w:t>
            </w:r>
            <w:r>
              <w:rPr>
                <w:sz w:val="15"/>
              </w:rPr>
              <w:t>Protocol/SAP/registry concordance table; amendment/version history; complete outcome reporting; post-hoc labels and rationale.</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19</w:t>
            </w:r>
          </w:p>
        </w:tc>
        <w:tc>
          <w:tcPr>
            <w:tcW w:type="dxa" w:w="12600"/>
            <w:vAlign w:val="top"/>
          </w:tcPr>
          <w:p>
            <w:pPr>
              <w:spacing w:after="0" w:line="240" w:lineRule="auto"/>
            </w:pPr>
            <w:r/>
            <w:r>
              <w:rPr>
                <w:b/>
                <w:sz w:val="16"/>
              </w:rPr>
              <w:t xml:space="preserve">Check: </w:t>
            </w:r>
            <w:r>
              <w:rPr>
                <w:sz w:val="15"/>
              </w:rPr>
              <w:t>Require estimates with CIs, absolute and relative effects, follow-up/maturity context, and proper non-inferiority/equivalence design before any no-difference claim.</w:t>
            </w:r>
          </w:p>
          <w:p>
            <w:pPr>
              <w:spacing w:after="0" w:line="240" w:lineRule="auto"/>
            </w:pPr>
            <w:r>
              <w:rPr>
                <w:b/>
                <w:sz w:val="16"/>
              </w:rPr>
              <w:t xml:space="preserve">Why: </w:t>
            </w:r>
            <w:r>
              <w:rPr>
                <w:sz w:val="15"/>
              </w:rPr>
              <w:t>P-values alone do not show clinical importance, precision, maturity, or equivalence.</w:t>
            </w:r>
          </w:p>
          <w:p>
            <w:pPr>
              <w:spacing w:after="0" w:line="240" w:lineRule="auto"/>
            </w:pPr>
            <w:r>
              <w:rPr>
                <w:b/>
                <w:sz w:val="16"/>
              </w:rPr>
              <w:t xml:space="preserve">Evidence: </w:t>
            </w:r>
            <w:r>
              <w:rPr>
                <w:sz w:val="15"/>
              </w:rPr>
              <w:t>Effect estimates with 95% CIs; medians and landmarks; absolute risk differences where relevant; NI/equivalence margin and power if claimed.</w:t>
            </w:r>
          </w:p>
        </w:tc>
        <w:tc>
          <w:tcPr>
            <w:tcW w:type="dxa" w:w="1800"/>
            <w:vAlign w:val="top"/>
          </w:tcPr>
          <w:p>
            <w:pPr>
              <w:spacing w:after="0"/>
              <w:jc w:val="left"/>
            </w:pPr>
            <w:r>
              <w:rPr>
                <w:sz w:val="16"/>
              </w:rPr>
              <w:t>[ ] Yes</w:t>
              <w:br/>
              <w:t>[ ] No</w:t>
              <w:br/>
              <w:t>[ ] N/A</w:t>
            </w:r>
          </w:p>
        </w:tc>
      </w:tr>
      <w:tr>
        <w:trPr>
          <w:cantSplit/>
        </w:trPr>
        <w:tc>
          <w:tcPr>
            <w:tcW w:type="dxa" w:w="792"/>
            <w:vAlign w:val="top"/>
          </w:tcPr>
          <w:p>
            <w:pPr>
              <w:spacing w:after="0"/>
              <w:jc w:val="center"/>
            </w:pPr>
            <w:r>
              <w:rPr>
                <w:b/>
                <w:sz w:val="16"/>
              </w:rPr>
              <w:t>20</w:t>
            </w:r>
          </w:p>
        </w:tc>
        <w:tc>
          <w:tcPr>
            <w:tcW w:type="dxa" w:w="12600"/>
            <w:vAlign w:val="top"/>
          </w:tcPr>
          <w:p>
            <w:pPr>
              <w:spacing w:after="0" w:line="240" w:lineRule="auto"/>
            </w:pPr>
            <w:r/>
            <w:r>
              <w:rPr>
                <w:b/>
                <w:sz w:val="16"/>
              </w:rPr>
              <w:t xml:space="preserve">Check: </w:t>
            </w:r>
            <w:r>
              <w:rPr>
                <w:sz w:val="15"/>
              </w:rPr>
              <w:t>Ensure abstract, discussion, conclusions, and promotional-style wording match design, power, multiplicity status, maturity, and residual uncertainty.</w:t>
            </w:r>
          </w:p>
          <w:p>
            <w:pPr>
              <w:spacing w:after="0" w:line="240" w:lineRule="auto"/>
            </w:pPr>
            <w:r>
              <w:rPr>
                <w:b/>
                <w:sz w:val="16"/>
              </w:rPr>
              <w:t xml:space="preserve">Why: </w:t>
            </w:r>
            <w:r>
              <w:rPr>
                <w:sz w:val="15"/>
              </w:rPr>
              <w:t>Overstated language can make exploratory, immature, single-arm, or subgroup results sound definitive.</w:t>
            </w:r>
          </w:p>
          <w:p>
            <w:pPr>
              <w:spacing w:after="0" w:line="240" w:lineRule="auto"/>
            </w:pPr>
            <w:r>
              <w:rPr>
                <w:b/>
                <w:sz w:val="16"/>
              </w:rPr>
              <w:t xml:space="preserve">Evidence: </w:t>
            </w:r>
            <w:r>
              <w:rPr>
                <w:sz w:val="15"/>
              </w:rPr>
              <w:t>Claims crosswalk linking each statement to prespecified endpoints, multiplicity status, effect size/CIs, maturity, and sensitivity analyses.</w:t>
            </w:r>
          </w:p>
        </w:tc>
        <w:tc>
          <w:tcPr>
            <w:tcW w:type="dxa" w:w="1800"/>
            <w:vAlign w:val="top"/>
          </w:tcPr>
          <w:p>
            <w:pPr>
              <w:spacing w:after="0"/>
              <w:jc w:val="left"/>
            </w:pPr>
            <w:r>
              <w:rPr>
                <w:sz w:val="16"/>
              </w:rPr>
              <w:t>[ ] Yes</w:t>
              <w:br/>
              <w:t>[ ] No</w:t>
              <w:br/>
              <w:t>[ ] N/A</w:t>
            </w:r>
          </w:p>
        </w:tc>
      </w:tr>
    </w:tbl>
    <w:p>
      <w:pPr>
        <w:spacing w:line="240" w:lineRule="auto" w:after="80"/>
      </w:pPr>
    </w:p>
    <w:p>
      <w:pPr>
        <w:spacing w:line="240" w:lineRule="auto" w:after="80"/>
      </w:pPr>
      <w:r>
        <w:br w:type="page"/>
      </w:r>
    </w:p>
    <w:p>
      <w:pPr>
        <w:pStyle w:val="Heading1"/>
        <w:keepNext w:val="1"/>
      </w:pPr>
      <w:r/>
      <w:r>
        <w:t>Checklist 2 - Non-oncology interventional studies</w:t>
      </w:r>
    </w:p>
    <w:p>
      <w:pPr>
        <w:spacing w:after="80" w:line="240" w:lineRule="auto"/>
      </w:pPr>
      <w:r>
        <w:rPr>
          <w:sz w:val="18"/>
        </w:rPr>
        <w:t>Use for randomized or non-randomized interventional clinical studies outside oncology, including superiority, non-inferiority, equivalence, device, diagnostic, behavioral, vaccine, and pragmatic trials.</w:t>
      </w:r>
    </w:p>
    <w:tbl>
      <w:tblGrid>
        <w:gridCol w:w="792"/>
        <w:gridCol w:w="12600"/>
        <w:gridCol w:w="1655"/>
      </w:tblGrid>
      <w:tblPr>
        <w:tblStyle w:val="TableGrid"/>
        <w:tblW w:type="auto" w:w="0"/>
        <w:jc w:val="center"/>
        <w:tblLook w:firstColumn="1" w:firstRow="1" w:lastColumn="0" w:lastRow="0" w:noHBand="0" w:noVBand="1" w:val="04A0"/>
        <w:tblLayout w:type="fixed"/>
      </w:tblPr>
      <w:tr>
        <w:trPr>
          <w:tblHeader w:val="true"/>
          <w:cantSplit w:val="1"/>
        </w:trPr>
        <w:tc>
          <w:tcPr>
            <w:tcW w:type="dxa" w:w="4848"/>
            <w:tcW w:w="792" w:type="dxa"/>
            <w:shd w:fill="D9EAF7"/>
            <w:vAlign w:val="center"/>
          </w:tcPr>
          <w:p>
            <w:pPr>
              <w:jc w:val="center"/>
            </w:pPr>
            <w:r>
              <w:rPr>
                <w:b/>
                <w:sz w:val="17"/>
              </w:rPr>
              <w:t>Item</w:t>
            </w:r>
          </w:p>
        </w:tc>
        <w:tc>
          <w:tcPr>
            <w:tcW w:type="dxa" w:w="4848"/>
            <w:tcW w:w="12600" w:type="dxa"/>
            <w:shd w:fill="D9EAF7"/>
            <w:vAlign w:val="center"/>
          </w:tcPr>
          <w:p>
            <w:pPr>
              <w:jc w:val="center"/>
            </w:pPr>
            <w:r>
              <w:rPr>
                <w:b/>
                <w:sz w:val="17"/>
              </w:rPr>
              <w:t>Checklist item + concise rationale</w:t>
            </w:r>
          </w:p>
        </w:tc>
        <w:tc>
          <w:tcPr>
            <w:tcW w:type="dxa" w:w="4848"/>
            <w:tcW w:w="1655" w:type="dxa"/>
            <w:shd w:fill="D9EAF7"/>
            <w:vAlign w:val="center"/>
          </w:tcPr>
          <w:p>
            <w:pPr>
              <w:jc w:val="center"/>
            </w:pPr>
            <w:r>
              <w:rPr>
                <w:b/>
                <w:sz w:val="17"/>
              </w:rPr>
              <w:t>Checked?</w:t>
            </w:r>
          </w:p>
        </w:tc>
      </w:tr>
      <w:tr>
        <w:trPr>
          <w:cantSplit w:val="1"/>
        </w:trPr>
        <w:tc>
          <w:tcPr>
            <w:tcW w:type="dxa" w:w="792"/>
            <w:tcW w:w="792" w:type="dxa"/>
            <w:vAlign w:val="top"/>
          </w:tcPr>
          <w:p>
            <w:pPr>
              <w:jc w:val="center"/>
            </w:pPr>
            <w:r>
              <w:rPr>
                <w:b/>
                <w:sz w:val="17"/>
              </w:rPr>
              <w:t>1</w:t>
            </w:r>
          </w:p>
        </w:tc>
        <w:tc>
          <w:tcPr>
            <w:tcW w:type="dxa" w:w="12600"/>
            <w:tcW w:w="12600" w:type="dxa"/>
            <w:vAlign w:val="top"/>
          </w:tcPr>
          <w:p>
            <w:pPr>
              <w:spacing w:after="40"/>
            </w:pPr>
            <w:r>
              <w:rPr>
                <w:sz w:val="17"/>
              </w:rPr>
            </w:r>
            <w:r>
              <w:rPr>
                <w:b/>
                <w:sz w:val="17"/>
              </w:rPr>
              <w:t xml:space="preserve">Check: </w:t>
            </w:r>
            <w:r>
              <w:rPr>
                <w:sz w:val="17"/>
              </w:rPr>
              <w:t>Confirm the trial question, population, intervention, comparator, endpoint, and analysis method are aligned for each confirmatory claim.</w:t>
            </w:r>
          </w:p>
          <w:p>
            <w:pPr>
              <w:spacing w:after="40"/>
            </w:pPr>
            <w:r>
              <w:rPr>
                <w:b/>
                <w:sz w:val="17"/>
              </w:rPr>
              <w:t xml:space="preserve">Why: </w:t>
            </w:r>
            <w:r>
              <w:rPr>
                <w:sz w:val="17"/>
              </w:rPr>
              <w:t>A statistically clean analysis can still answer the wrong clinical question if the design, estimand, endpoint, and model are misaligned.</w:t>
            </w:r>
          </w:p>
          <w:p>
            <w:pPr>
              <w:spacing w:after="0"/>
            </w:pPr>
            <w:r>
              <w:rPr>
                <w:b/>
                <w:sz w:val="17"/>
              </w:rPr>
              <w:t xml:space="preserve">Evidence: </w:t>
            </w:r>
            <w:r>
              <w:rPr>
                <w:sz w:val="17"/>
              </w:rPr>
              <w:t>Protocol/SAP objective table; estimand section; manuscript abstract, methods, and conclusions.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2</w:t>
            </w:r>
          </w:p>
        </w:tc>
        <w:tc>
          <w:tcPr>
            <w:tcW w:type="dxa" w:w="12600"/>
            <w:tcW w:w="12600" w:type="dxa"/>
            <w:vAlign w:val="top"/>
          </w:tcPr>
          <w:p>
            <w:pPr>
              <w:spacing w:after="40"/>
            </w:pPr>
            <w:r>
              <w:rPr>
                <w:sz w:val="17"/>
              </w:rPr>
            </w:r>
            <w:r>
              <w:rPr>
                <w:b/>
                <w:sz w:val="17"/>
              </w:rPr>
              <w:t xml:space="preserve">Check: </w:t>
            </w:r>
            <w:r>
              <w:rPr>
                <w:sz w:val="17"/>
              </w:rPr>
              <w:t>Verify trial registration, protocol, and SAP dates, and confirm primary and key secondary analyses were specified before unblinding or database lock.</w:t>
            </w:r>
          </w:p>
          <w:p>
            <w:pPr>
              <w:spacing w:after="40"/>
            </w:pPr>
            <w:r>
              <w:rPr>
                <w:b/>
                <w:sz w:val="17"/>
              </w:rPr>
              <w:t xml:space="preserve">Why: </w:t>
            </w:r>
            <w:r>
              <w:rPr>
                <w:sz w:val="17"/>
              </w:rPr>
              <w:t>Prespecification reduces outcome switching, selective analysis, and inflated type I error.</w:t>
            </w:r>
          </w:p>
          <w:p>
            <w:pPr>
              <w:spacing w:after="0"/>
            </w:pPr>
            <w:r>
              <w:rPr>
                <w:b/>
                <w:sz w:val="17"/>
              </w:rPr>
              <w:t xml:space="preserve">Evidence: </w:t>
            </w:r>
            <w:r>
              <w:rPr>
                <w:sz w:val="17"/>
              </w:rPr>
              <w:t>Registry ID; signed protocol and SAP versions; date stamps; database lock/unblinding dates.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3</w:t>
            </w:r>
          </w:p>
        </w:tc>
        <w:tc>
          <w:tcPr>
            <w:tcW w:type="dxa" w:w="12600"/>
            <w:tcW w:w="12600" w:type="dxa"/>
            <w:vAlign w:val="top"/>
          </w:tcPr>
          <w:p>
            <w:pPr>
              <w:spacing w:after="40"/>
            </w:pPr>
            <w:r>
              <w:rPr>
                <w:sz w:val="17"/>
              </w:rPr>
            </w:r>
            <w:r>
              <w:rPr>
                <w:b/>
                <w:sz w:val="17"/>
              </w:rPr>
              <w:t xml:space="preserve">Check: </w:t>
            </w:r>
            <w:r>
              <w:rPr>
                <w:sz w:val="17"/>
              </w:rPr>
              <w:t>Check that the estimand defines population, variable, intercurrent-event strategy, summary measure, and treatment/comparator condition.</w:t>
            </w:r>
          </w:p>
          <w:p>
            <w:pPr>
              <w:spacing w:after="40"/>
            </w:pPr>
            <w:r>
              <w:rPr>
                <w:b/>
                <w:sz w:val="17"/>
              </w:rPr>
              <w:t xml:space="preserve">Why: </w:t>
            </w:r>
            <w:r>
              <w:rPr>
                <w:sz w:val="17"/>
              </w:rPr>
              <w:t>Intercurrent events such as treatment discontinuation, rescue medication, death, adherence changes, or treatment switching can change the meaning of the treatment effect.</w:t>
            </w:r>
          </w:p>
          <w:p>
            <w:pPr>
              <w:spacing w:after="0"/>
            </w:pPr>
            <w:r>
              <w:rPr>
                <w:b/>
                <w:sz w:val="17"/>
              </w:rPr>
              <w:t xml:space="preserve">Evidence: </w:t>
            </w:r>
            <w:r>
              <w:rPr>
                <w:sz w:val="17"/>
              </w:rPr>
              <w:t>Estimand table; intercurrent-event handling; alignment of estimand with primary analysis and sensitivity analyses.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4</w:t>
            </w:r>
          </w:p>
        </w:tc>
        <w:tc>
          <w:tcPr>
            <w:tcW w:type="dxa" w:w="12600"/>
            <w:tcW w:w="12600" w:type="dxa"/>
            <w:vAlign w:val="top"/>
          </w:tcPr>
          <w:p>
            <w:pPr>
              <w:spacing w:after="40"/>
            </w:pPr>
            <w:r>
              <w:rPr>
                <w:sz w:val="17"/>
              </w:rPr>
            </w:r>
            <w:r>
              <w:rPr>
                <w:b/>
                <w:sz w:val="17"/>
              </w:rPr>
              <w:t xml:space="preserve">Check: </w:t>
            </w:r>
            <w:r>
              <w:rPr>
                <w:sz w:val="17"/>
              </w:rPr>
              <w:t>Assess whether endpoints are clinically meaningful, validated, consistently measured, and collected at appropriate timepoints.</w:t>
            </w:r>
          </w:p>
          <w:p>
            <w:pPr>
              <w:spacing w:after="40"/>
            </w:pPr>
            <w:r>
              <w:rPr>
                <w:b/>
                <w:sz w:val="17"/>
              </w:rPr>
              <w:t xml:space="preserve">Why: </w:t>
            </w:r>
            <w:r>
              <w:rPr>
                <w:sz w:val="17"/>
              </w:rPr>
              <w:t>Endpoint validity and timing determine whether estimates are interpretable and comparable across arms.</w:t>
            </w:r>
          </w:p>
          <w:p>
            <w:pPr>
              <w:spacing w:after="0"/>
            </w:pPr>
            <w:r>
              <w:rPr>
                <w:b/>
                <w:sz w:val="17"/>
              </w:rPr>
              <w:t xml:space="preserve">Evidence: </w:t>
            </w:r>
            <w:r>
              <w:rPr>
                <w:sz w:val="17"/>
              </w:rPr>
              <w:t>Endpoint definitions; measurement schedule; blinded assessment procedures; instrument validation; visit windows.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5</w:t>
            </w:r>
          </w:p>
        </w:tc>
        <w:tc>
          <w:tcPr>
            <w:tcW w:type="dxa" w:w="12600"/>
            <w:tcW w:w="12600" w:type="dxa"/>
            <w:vAlign w:val="top"/>
          </w:tcPr>
          <w:p>
            <w:pPr>
              <w:spacing w:after="40"/>
            </w:pPr>
            <w:r>
              <w:rPr>
                <w:sz w:val="17"/>
              </w:rPr>
            </w:r>
            <w:r>
              <w:rPr>
                <w:b/>
                <w:sz w:val="17"/>
              </w:rPr>
              <w:t xml:space="preserve">Check: </w:t>
            </w:r>
            <w:r>
              <w:rPr>
                <w:sz w:val="17"/>
              </w:rPr>
              <w:t>Check sample size, assumptions, power, attrition allowance, and clinically meaningful effect size for the primary endpoint and key secondary endpoints.</w:t>
            </w:r>
          </w:p>
          <w:p>
            <w:pPr>
              <w:spacing w:after="40"/>
            </w:pPr>
            <w:r>
              <w:rPr>
                <w:b/>
                <w:sz w:val="17"/>
              </w:rPr>
              <w:t xml:space="preserve">Why: </w:t>
            </w:r>
            <w:r>
              <w:rPr>
                <w:sz w:val="17"/>
              </w:rPr>
              <w:t>Underpowered or assumption-driven analyses can produce unstable estimates, false negatives, or exaggerated effects.</w:t>
            </w:r>
          </w:p>
          <w:p>
            <w:pPr>
              <w:spacing w:after="0"/>
            </w:pPr>
            <w:r>
              <w:rPr>
                <w:b/>
                <w:sz w:val="17"/>
              </w:rPr>
              <w:t xml:space="preserve">Evidence: </w:t>
            </w:r>
            <w:r>
              <w:rPr>
                <w:sz w:val="17"/>
              </w:rPr>
              <w:t>Sample-size section; assumptions for event rates, SDs, ICCs, dropout, margins, or response rates; re-estimation rules.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6</w:t>
            </w:r>
          </w:p>
        </w:tc>
        <w:tc>
          <w:tcPr>
            <w:tcW w:type="dxa" w:w="12600"/>
            <w:tcW w:w="12600" w:type="dxa"/>
            <w:vAlign w:val="top"/>
          </w:tcPr>
          <w:p>
            <w:pPr>
              <w:spacing w:after="40"/>
            </w:pPr>
            <w:r>
              <w:rPr>
                <w:sz w:val="17"/>
              </w:rPr>
            </w:r>
            <w:r>
              <w:rPr>
                <w:b/>
                <w:sz w:val="17"/>
              </w:rPr>
              <w:t xml:space="preserve">Check: </w:t>
            </w:r>
            <w:r>
              <w:rPr>
                <w:sz w:val="17"/>
              </w:rPr>
              <w:t>Review randomization method, allocation concealment, stratification factors, minimization, blocking, and any imbalance in prognostic factors.</w:t>
            </w:r>
          </w:p>
          <w:p>
            <w:pPr>
              <w:spacing w:after="40"/>
            </w:pPr>
            <w:r>
              <w:rPr>
                <w:b/>
                <w:sz w:val="17"/>
              </w:rPr>
              <w:t xml:space="preserve">Why: </w:t>
            </w:r>
            <w:r>
              <w:rPr>
                <w:sz w:val="17"/>
              </w:rPr>
              <w:t>Randomization protects against confounding only if allocation is concealed and the primary analysis respects randomization.</w:t>
            </w:r>
          </w:p>
          <w:p>
            <w:pPr>
              <w:spacing w:after="0"/>
            </w:pPr>
            <w:r>
              <w:rPr>
                <w:b/>
                <w:sz w:val="17"/>
              </w:rPr>
              <w:t xml:space="preserve">Evidence: </w:t>
            </w:r>
            <w:r>
              <w:rPr>
                <w:sz w:val="17"/>
              </w:rPr>
              <w:t>Randomization specification; IWRS/IRT documentation; baseline table; stratified analysis plan; imbalance discussion.</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7</w:t>
            </w:r>
          </w:p>
        </w:tc>
        <w:tc>
          <w:tcPr>
            <w:tcW w:type="dxa" w:w="12600"/>
            <w:tcW w:w="12600" w:type="dxa"/>
            <w:vAlign w:val="top"/>
          </w:tcPr>
          <w:p>
            <w:pPr>
              <w:spacing w:after="40"/>
            </w:pPr>
            <w:r>
              <w:rPr>
                <w:sz w:val="17"/>
              </w:rPr>
            </w:r>
            <w:r>
              <w:rPr>
                <w:b/>
                <w:sz w:val="17"/>
              </w:rPr>
              <w:t xml:space="preserve">Check: </w:t>
            </w:r>
            <w:r>
              <w:rPr>
                <w:sz w:val="17"/>
              </w:rPr>
              <w:t>Verify blinding/masking, outcome adjudication, and procedures to reduce measurement bias.</w:t>
            </w:r>
          </w:p>
          <w:p>
            <w:pPr>
              <w:spacing w:after="40"/>
            </w:pPr>
            <w:r>
              <w:rPr>
                <w:b/>
                <w:sz w:val="17"/>
              </w:rPr>
              <w:t xml:space="preserve">Why: </w:t>
            </w:r>
            <w:r>
              <w:rPr>
                <w:sz w:val="17"/>
              </w:rPr>
              <w:t>Open-label designs or subjective endpoints can bias outcome measurement and interpretation.</w:t>
            </w:r>
          </w:p>
          <w:p>
            <w:pPr>
              <w:spacing w:after="0"/>
            </w:pPr>
            <w:r>
              <w:rPr>
                <w:b/>
                <w:sz w:val="17"/>
              </w:rPr>
              <w:t xml:space="preserve">Evidence: </w:t>
            </w:r>
            <w:r>
              <w:rPr>
                <w:sz w:val="17"/>
              </w:rPr>
              <w:t>Blinding description; independent adjudication charter; endpoint assessment instructions; unblinding logs.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8</w:t>
            </w:r>
          </w:p>
        </w:tc>
        <w:tc>
          <w:tcPr>
            <w:tcW w:type="dxa" w:w="12600"/>
            <w:tcW w:w="12600" w:type="dxa"/>
            <w:vAlign w:val="top"/>
          </w:tcPr>
          <w:p>
            <w:pPr>
              <w:spacing w:after="40"/>
            </w:pPr>
            <w:r>
              <w:rPr>
                <w:sz w:val="17"/>
              </w:rPr>
            </w:r>
            <w:r>
              <w:rPr>
                <w:b/>
                <w:sz w:val="17"/>
              </w:rPr>
              <w:t xml:space="preserve">Check: </w:t>
            </w:r>
            <w:r>
              <w:rPr>
                <w:sz w:val="17"/>
              </w:rPr>
              <w:t>Confirm analysis sets are defined and used correctly: randomized/ITT, modified ITT, per-protocol, as-treated, safety, and pharmacodynamic/pharmacokinetic sets.</w:t>
            </w:r>
          </w:p>
          <w:p>
            <w:pPr>
              <w:spacing w:after="40"/>
            </w:pPr>
            <w:r>
              <w:rPr>
                <w:b/>
                <w:sz w:val="17"/>
              </w:rPr>
              <w:t xml:space="preserve">Why: </w:t>
            </w:r>
            <w:r>
              <w:rPr>
                <w:sz w:val="17"/>
              </w:rPr>
              <w:t>Changing the analysis population can break randomization or introduce selection bias.</w:t>
            </w:r>
          </w:p>
          <w:p>
            <w:pPr>
              <w:spacing w:after="0"/>
            </w:pPr>
            <w:r>
              <w:rPr>
                <w:b/>
                <w:sz w:val="17"/>
              </w:rPr>
              <w:t xml:space="preserve">Evidence: </w:t>
            </w:r>
            <w:r>
              <w:rPr>
                <w:sz w:val="17"/>
              </w:rPr>
              <w:t>Population definitions; CONSORT flow; deviations from randomized population; reasons for exclusions.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9</w:t>
            </w:r>
          </w:p>
        </w:tc>
        <w:tc>
          <w:tcPr>
            <w:tcW w:type="dxa" w:w="12600"/>
            <w:tcW w:w="12600" w:type="dxa"/>
            <w:vAlign w:val="top"/>
          </w:tcPr>
          <w:p>
            <w:pPr>
              <w:spacing w:after="40"/>
            </w:pPr>
            <w:r>
              <w:rPr>
                <w:sz w:val="17"/>
              </w:rPr>
            </w:r>
            <w:r>
              <w:rPr>
                <w:b/>
                <w:sz w:val="17"/>
              </w:rPr>
              <w:t xml:space="preserve">Check: </w:t>
            </w:r>
            <w:r>
              <w:rPr>
                <w:sz w:val="17"/>
              </w:rPr>
              <w:t>Evaluate multiplicity control across primary endpoints, key secondary endpoints, interim looks, subgroups, dose groups, regions, and repeated timepoints.</w:t>
            </w:r>
          </w:p>
          <w:p>
            <w:pPr>
              <w:spacing w:after="40"/>
            </w:pPr>
            <w:r>
              <w:rPr>
                <w:b/>
                <w:sz w:val="17"/>
              </w:rPr>
              <w:t xml:space="preserve">Why: </w:t>
            </w:r>
            <w:r>
              <w:rPr>
                <w:sz w:val="17"/>
              </w:rPr>
              <w:t>Multiple testing inflates false-positive risk unless the alpha strategy is prespecified and followed.</w:t>
            </w:r>
          </w:p>
          <w:p>
            <w:pPr>
              <w:spacing w:after="0"/>
            </w:pPr>
            <w:r>
              <w:rPr>
                <w:b/>
                <w:sz w:val="17"/>
              </w:rPr>
              <w:t xml:space="preserve">Evidence: </w:t>
            </w:r>
            <w:r>
              <w:rPr>
                <w:sz w:val="17"/>
              </w:rPr>
              <w:t>Gatekeeping hierarchy; alpha allocation/spending; adjusted p-values; testing sequence; interim monitoring plan.</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10</w:t>
            </w:r>
          </w:p>
        </w:tc>
        <w:tc>
          <w:tcPr>
            <w:tcW w:type="dxa" w:w="12600"/>
            <w:tcW w:w="12600" w:type="dxa"/>
            <w:vAlign w:val="top"/>
          </w:tcPr>
          <w:p>
            <w:pPr>
              <w:spacing w:after="40"/>
            </w:pPr>
            <w:r>
              <w:rPr>
                <w:sz w:val="17"/>
              </w:rPr>
            </w:r>
            <w:r>
              <w:rPr>
                <w:b/>
                <w:sz w:val="17"/>
              </w:rPr>
              <w:t xml:space="preserve">Check: </w:t>
            </w:r>
            <w:r>
              <w:rPr>
                <w:sz w:val="17"/>
              </w:rPr>
              <w:t>Confirm the primary model matches endpoint type and design, and that assumptions are checked.</w:t>
            </w:r>
          </w:p>
          <w:p>
            <w:pPr>
              <w:spacing w:after="40"/>
            </w:pPr>
            <w:r>
              <w:rPr>
                <w:b/>
                <w:sz w:val="17"/>
              </w:rPr>
              <w:t xml:space="preserve">Why: </w:t>
            </w:r>
            <w:r>
              <w:rPr>
                <w:sz w:val="17"/>
              </w:rPr>
              <w:t>Invalid model assumptions can bias estimates, standard errors, confidence intervals, and p-values.</w:t>
            </w:r>
          </w:p>
          <w:p>
            <w:pPr>
              <w:spacing w:after="0"/>
            </w:pPr>
            <w:r>
              <w:rPr>
                <w:b/>
                <w:sz w:val="17"/>
              </w:rPr>
              <w:t xml:space="preserve">Evidence: </w:t>
            </w:r>
            <w:r>
              <w:rPr>
                <w:sz w:val="17"/>
              </w:rPr>
              <w:t>Model formula; link/distribution; covariance structure; residual and influence diagnostics; proportional hazards checks where relevant.</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11</w:t>
            </w:r>
          </w:p>
        </w:tc>
        <w:tc>
          <w:tcPr>
            <w:tcW w:type="dxa" w:w="12600"/>
            <w:tcW w:w="12600" w:type="dxa"/>
            <w:vAlign w:val="top"/>
          </w:tcPr>
          <w:p>
            <w:pPr>
              <w:spacing w:after="40"/>
            </w:pPr>
            <w:r>
              <w:rPr>
                <w:sz w:val="17"/>
              </w:rPr>
            </w:r>
            <w:r>
              <w:rPr>
                <w:b/>
                <w:sz w:val="17"/>
              </w:rPr>
              <w:t xml:space="preserve">Check: </w:t>
            </w:r>
            <w:r>
              <w:rPr>
                <w:sz w:val="17"/>
              </w:rPr>
              <w:t>For longitudinal or repeated-measures endpoints, check baseline adjustment, visit structure, covariance assumptions, missingness handling, and interpretation of treatment-by-visit effects.</w:t>
            </w:r>
          </w:p>
          <w:p>
            <w:pPr>
              <w:spacing w:after="40"/>
            </w:pPr>
            <w:r>
              <w:rPr>
                <w:b/>
                <w:sz w:val="17"/>
              </w:rPr>
              <w:t xml:space="preserve">Why: </w:t>
            </w:r>
            <w:r>
              <w:rPr>
                <w:sz w:val="17"/>
              </w:rPr>
              <w:t>Repeated observations create correlation and visit-specific estimands that simple comparisons can mishandle.</w:t>
            </w:r>
          </w:p>
          <w:p>
            <w:pPr>
              <w:spacing w:after="0"/>
            </w:pPr>
            <w:r>
              <w:rPr>
                <w:b/>
                <w:sz w:val="17"/>
              </w:rPr>
              <w:t xml:space="preserve">Evidence: </w:t>
            </w:r>
            <w:r>
              <w:rPr>
                <w:sz w:val="17"/>
              </w:rPr>
              <w:t>MMRM/GEE/mixed-model details; covariance diagnostics; baseline covariates; visit window rules; estimand alignment.</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12</w:t>
            </w:r>
          </w:p>
        </w:tc>
        <w:tc>
          <w:tcPr>
            <w:tcW w:type="dxa" w:w="12600"/>
            <w:tcW w:w="12600" w:type="dxa"/>
            <w:vAlign w:val="top"/>
          </w:tcPr>
          <w:p>
            <w:pPr>
              <w:spacing w:after="40"/>
            </w:pPr>
            <w:r>
              <w:rPr>
                <w:sz w:val="17"/>
              </w:rPr>
            </w:r>
            <w:r>
              <w:rPr>
                <w:b/>
                <w:sz w:val="17"/>
              </w:rPr>
              <w:t xml:space="preserve">Check: </w:t>
            </w:r>
            <w:r>
              <w:rPr>
                <w:sz w:val="17"/>
              </w:rPr>
              <w:t>Assess missing data amount, reasons, timing, differential patterns by arm, and assumptions behind the primary method.</w:t>
            </w:r>
          </w:p>
          <w:p>
            <w:pPr>
              <w:spacing w:after="40"/>
            </w:pPr>
            <w:r>
              <w:rPr>
                <w:b/>
                <w:sz w:val="17"/>
              </w:rPr>
              <w:t xml:space="preserve">Why: </w:t>
            </w:r>
            <w:r>
              <w:rPr>
                <w:sz w:val="17"/>
              </w:rPr>
              <w:t>Missing data can bias treatment effects, especially when related to prognosis, tolerability, or outcome status.</w:t>
            </w:r>
          </w:p>
          <w:p>
            <w:pPr>
              <w:spacing w:after="0"/>
            </w:pPr>
            <w:r>
              <w:rPr>
                <w:b/>
                <w:sz w:val="17"/>
              </w:rPr>
              <w:t xml:space="preserve">Evidence: </w:t>
            </w:r>
            <w:r>
              <w:rPr>
                <w:sz w:val="17"/>
              </w:rPr>
              <w:t>Missingness tables by arm and visit; imputation or likelihood method; MAR rationale; MNAR/tipping-point sensitivity analyses.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13</w:t>
            </w:r>
          </w:p>
        </w:tc>
        <w:tc>
          <w:tcPr>
            <w:tcW w:type="dxa" w:w="12600"/>
            <w:tcW w:w="12600" w:type="dxa"/>
            <w:vAlign w:val="top"/>
          </w:tcPr>
          <w:p>
            <w:pPr>
              <w:spacing w:after="40"/>
            </w:pPr>
            <w:r>
              <w:rPr>
                <w:sz w:val="17"/>
              </w:rPr>
            </w:r>
            <w:r>
              <w:rPr>
                <w:b/>
                <w:sz w:val="17"/>
              </w:rPr>
              <w:t xml:space="preserve">Check: </w:t>
            </w:r>
            <w:r>
              <w:rPr>
                <w:sz w:val="17"/>
              </w:rPr>
              <w:t>Review protocol deviations, treatment adherence, exposure, rescue/concomitant medication, and discontinuation patterns.</w:t>
            </w:r>
          </w:p>
          <w:p>
            <w:pPr>
              <w:spacing w:after="40"/>
            </w:pPr>
            <w:r>
              <w:rPr>
                <w:b/>
                <w:sz w:val="17"/>
              </w:rPr>
              <w:t xml:space="preserve">Why: </w:t>
            </w:r>
            <w:r>
              <w:rPr>
                <w:sz w:val="17"/>
              </w:rPr>
              <w:t>Adherence and rescue medication can alter interpretation, particularly when the estimand is hypothetical or while-on-treatment.</w:t>
            </w:r>
          </w:p>
          <w:p>
            <w:pPr>
              <w:spacing w:after="0"/>
            </w:pPr>
            <w:r>
              <w:rPr>
                <w:b/>
                <w:sz w:val="17"/>
              </w:rPr>
              <w:t xml:space="preserve">Evidence: </w:t>
            </w:r>
            <w:r>
              <w:rPr>
                <w:sz w:val="17"/>
              </w:rPr>
              <w:t>Deviation listings; exposure summaries; compliance summaries; rescue-medication use; discontinuation reasons.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14</w:t>
            </w:r>
          </w:p>
        </w:tc>
        <w:tc>
          <w:tcPr>
            <w:tcW w:type="dxa" w:w="12600"/>
            <w:tcW w:w="12600" w:type="dxa"/>
            <w:vAlign w:val="top"/>
          </w:tcPr>
          <w:p>
            <w:pPr>
              <w:spacing w:after="40"/>
            </w:pPr>
            <w:r>
              <w:rPr>
                <w:sz w:val="17"/>
              </w:rPr>
            </w:r>
            <w:r>
              <w:rPr>
                <w:b/>
                <w:sz w:val="17"/>
              </w:rPr>
              <w:t xml:space="preserve">Check: </w:t>
            </w:r>
            <w:r>
              <w:rPr>
                <w:sz w:val="17"/>
              </w:rPr>
              <w:t>Check safety analyses for correct denominators, exposure time, treatment-emergent definitions, severity/seriousness, relatedness, and special-interest events.</w:t>
            </w:r>
          </w:p>
          <w:p>
            <w:pPr>
              <w:spacing w:after="40"/>
            </w:pPr>
            <w:r>
              <w:rPr>
                <w:b/>
                <w:sz w:val="17"/>
              </w:rPr>
              <w:t xml:space="preserve">Why: </w:t>
            </w:r>
            <w:r>
              <w:rPr>
                <w:sz w:val="17"/>
              </w:rPr>
              <w:t>Safety conclusions depend on denominators, follow-up time, ascertainment, and transparent adverse-event summaries.</w:t>
            </w:r>
          </w:p>
          <w:p>
            <w:pPr>
              <w:spacing w:after="0"/>
            </w:pPr>
            <w:r>
              <w:rPr>
                <w:b/>
                <w:sz w:val="17"/>
              </w:rPr>
              <w:t xml:space="preserve">Evidence: </w:t>
            </w:r>
            <w:r>
              <w:rPr>
                <w:sz w:val="17"/>
              </w:rPr>
              <w:t>Safety population; AE definitions; exposure-adjusted rates if follow-up differs; AE, SAE, AESI, discontinuation, and death tables.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15</w:t>
            </w:r>
          </w:p>
        </w:tc>
        <w:tc>
          <w:tcPr>
            <w:tcW w:type="dxa" w:w="12600"/>
            <w:tcW w:w="12600" w:type="dxa"/>
            <w:vAlign w:val="top"/>
          </w:tcPr>
          <w:p>
            <w:pPr>
              <w:spacing w:after="40"/>
            </w:pPr>
            <w:r>
              <w:rPr>
                <w:sz w:val="17"/>
              </w:rPr>
            </w:r>
            <w:r>
              <w:rPr>
                <w:b/>
                <w:sz w:val="17"/>
              </w:rPr>
              <w:t xml:space="preserve">Check: </w:t>
            </w:r>
            <w:r>
              <w:rPr>
                <w:sz w:val="17"/>
              </w:rPr>
              <w:t>For non-inferiority or equivalence claims, verify prespecified margin, clinical/statistical justification, assay sensitivity, constancy assumptions, and confidence interval rule.</w:t>
            </w:r>
          </w:p>
          <w:p>
            <w:pPr>
              <w:spacing w:after="40"/>
            </w:pPr>
            <w:r>
              <w:rPr>
                <w:b/>
                <w:sz w:val="17"/>
              </w:rPr>
              <w:t xml:space="preserve">Why: </w:t>
            </w:r>
            <w:r>
              <w:rPr>
                <w:sz w:val="17"/>
              </w:rPr>
              <w:t>A non-significant superiority test does not establish equivalence or non-inferiority.</w:t>
            </w:r>
          </w:p>
          <w:p>
            <w:pPr>
              <w:spacing w:after="0"/>
            </w:pPr>
            <w:r>
              <w:rPr>
                <w:b/>
                <w:sz w:val="17"/>
              </w:rPr>
              <w:t xml:space="preserve">Evidence: </w:t>
            </w:r>
            <w:r>
              <w:rPr>
                <w:sz w:val="17"/>
              </w:rPr>
              <w:t>NI/equivalence protocol section; margin derivation; historical evidence; ITT and per-protocol concordance; CI within margin.</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16</w:t>
            </w:r>
          </w:p>
        </w:tc>
        <w:tc>
          <w:tcPr>
            <w:tcW w:type="dxa" w:w="12600"/>
            <w:tcW w:w="12600" w:type="dxa"/>
            <w:vAlign w:val="top"/>
          </w:tcPr>
          <w:p>
            <w:pPr>
              <w:spacing w:after="40"/>
            </w:pPr>
            <w:r>
              <w:rPr>
                <w:sz w:val="17"/>
              </w:rPr>
            </w:r>
            <w:r>
              <w:rPr>
                <w:b/>
                <w:sz w:val="17"/>
              </w:rPr>
              <w:t xml:space="preserve">Check: </w:t>
            </w:r>
            <w:r>
              <w:rPr>
                <w:sz w:val="17"/>
              </w:rPr>
              <w:t>Assess subgroup and heterogeneity claims for prespecification, limited number, interaction testing, multiplicity context, and adequate precision.</w:t>
            </w:r>
          </w:p>
          <w:p>
            <w:pPr>
              <w:spacing w:after="40"/>
            </w:pPr>
            <w:r>
              <w:rPr>
                <w:b/>
                <w:sz w:val="17"/>
              </w:rPr>
              <w:t xml:space="preserve">Why: </w:t>
            </w:r>
            <w:r>
              <w:rPr>
                <w:sz w:val="17"/>
              </w:rPr>
              <w:t>Subgroup differences are often unstable and should not be over-interpreted from within-subgroup p-values alone.</w:t>
            </w:r>
          </w:p>
          <w:p>
            <w:pPr>
              <w:spacing w:after="0"/>
            </w:pPr>
            <w:r>
              <w:rPr>
                <w:b/>
                <w:sz w:val="17"/>
              </w:rPr>
              <w:t xml:space="preserve">Evidence: </w:t>
            </w:r>
            <w:r>
              <w:rPr>
                <w:sz w:val="17"/>
              </w:rPr>
              <w:t>A priori subgroup list; interaction tests; forest plots with CIs; multiplicity labeling; exploratory language.</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17</w:t>
            </w:r>
          </w:p>
        </w:tc>
        <w:tc>
          <w:tcPr>
            <w:tcW w:type="dxa" w:w="12600"/>
            <w:tcW w:w="12600" w:type="dxa"/>
            <w:vAlign w:val="top"/>
          </w:tcPr>
          <w:p>
            <w:pPr>
              <w:spacing w:after="40"/>
            </w:pPr>
            <w:r>
              <w:rPr>
                <w:sz w:val="17"/>
              </w:rPr>
            </w:r>
            <w:r>
              <w:rPr>
                <w:b/>
                <w:sz w:val="17"/>
              </w:rPr>
              <w:t xml:space="preserve">Check: </w:t>
            </w:r>
            <w:r>
              <w:rPr>
                <w:sz w:val="17"/>
              </w:rPr>
              <w:t>Check interim analyses, data monitoring, early stopping, adaptations, sample-size re-estimation, and alpha spending.</w:t>
            </w:r>
          </w:p>
          <w:p>
            <w:pPr>
              <w:spacing w:after="40"/>
            </w:pPr>
            <w:r>
              <w:rPr>
                <w:b/>
                <w:sz w:val="17"/>
              </w:rPr>
              <w:t xml:space="preserve">Why: </w:t>
            </w:r>
            <w:r>
              <w:rPr>
                <w:sz w:val="17"/>
              </w:rPr>
              <w:t>Unaccounted interim looks or adaptations can inflate type I error or bias effect estimates.</w:t>
            </w:r>
          </w:p>
          <w:p>
            <w:pPr>
              <w:spacing w:after="0"/>
            </w:pPr>
            <w:r>
              <w:rPr>
                <w:b/>
                <w:sz w:val="17"/>
              </w:rPr>
              <w:t xml:space="preserve">Evidence: </w:t>
            </w:r>
            <w:r>
              <w:rPr>
                <w:sz w:val="17"/>
              </w:rPr>
              <w:t>DMC charter; interim SAP; stopping boundaries; alpha-spending function; adaptation rules and execution dates.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18</w:t>
            </w:r>
          </w:p>
        </w:tc>
        <w:tc>
          <w:tcPr>
            <w:tcW w:type="dxa" w:w="12600"/>
            <w:tcW w:w="12600" w:type="dxa"/>
            <w:vAlign w:val="top"/>
          </w:tcPr>
          <w:p>
            <w:pPr>
              <w:spacing w:after="40"/>
            </w:pPr>
            <w:r>
              <w:rPr>
                <w:sz w:val="17"/>
              </w:rPr>
            </w:r>
            <w:r>
              <w:rPr>
                <w:b/>
                <w:sz w:val="17"/>
              </w:rPr>
              <w:t xml:space="preserve">Check: </w:t>
            </w:r>
            <w:r>
              <w:rPr>
                <w:sz w:val="17"/>
              </w:rPr>
              <w:t>Confirm sensitivity and robustness analyses test key assumptions: analysis set, missing data, model form, covariates, outliers, censoring, and endpoint definitions.</w:t>
            </w:r>
          </w:p>
          <w:p>
            <w:pPr>
              <w:spacing w:after="40"/>
            </w:pPr>
            <w:r>
              <w:rPr>
                <w:b/>
                <w:sz w:val="17"/>
              </w:rPr>
              <w:t xml:space="preserve">Why: </w:t>
            </w:r>
            <w:r>
              <w:rPr>
                <w:sz w:val="17"/>
              </w:rPr>
              <w:t>Robust conclusions should not depend on a single fragile modeling choice.</w:t>
            </w:r>
          </w:p>
          <w:p>
            <w:pPr>
              <w:spacing w:after="0"/>
            </w:pPr>
            <w:r>
              <w:rPr>
                <w:b/>
                <w:sz w:val="17"/>
              </w:rPr>
              <w:t xml:space="preserve">Evidence: </w:t>
            </w:r>
            <w:r>
              <w:rPr>
                <w:sz w:val="17"/>
              </w:rPr>
              <w:t>SAP-defined sensitivity analyses; results compared with primary analysis; explanation of discordant findings.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19</w:t>
            </w:r>
          </w:p>
        </w:tc>
        <w:tc>
          <w:tcPr>
            <w:tcW w:type="dxa" w:w="12600"/>
            <w:tcW w:w="12600" w:type="dxa"/>
            <w:vAlign w:val="top"/>
          </w:tcPr>
          <w:p>
            <w:pPr>
              <w:spacing w:after="40"/>
            </w:pPr>
            <w:r>
              <w:rPr>
                <w:sz w:val="17"/>
              </w:rPr>
            </w:r>
            <w:r>
              <w:rPr>
                <w:b/>
                <w:sz w:val="17"/>
              </w:rPr>
              <w:t xml:space="preserve">Check: </w:t>
            </w:r>
            <w:r>
              <w:rPr>
                <w:sz w:val="17"/>
              </w:rPr>
              <w:t>Ensure effect sizes are reported with confidence intervals and clinically interpretable absolute measures when relevant.</w:t>
            </w:r>
          </w:p>
          <w:p>
            <w:pPr>
              <w:spacing w:after="40"/>
            </w:pPr>
            <w:r>
              <w:rPr>
                <w:b/>
                <w:sz w:val="17"/>
              </w:rPr>
              <w:t xml:space="preserve">Why: </w:t>
            </w:r>
            <w:r>
              <w:rPr>
                <w:sz w:val="17"/>
              </w:rPr>
              <w:t>P-values alone do not describe magnitude, precision, or clinical relevance.</w:t>
            </w:r>
          </w:p>
          <w:p>
            <w:pPr>
              <w:spacing w:after="0"/>
            </w:pPr>
            <w:r>
              <w:rPr>
                <w:b/>
                <w:sz w:val="17"/>
              </w:rPr>
              <w:t xml:space="preserve">Evidence: </w:t>
            </w:r>
            <w:r>
              <w:rPr>
                <w:sz w:val="17"/>
              </w:rPr>
              <w:t>Mean differences, risk differences, ratios, HRs, NNT/NNH where appropriate; baseline risk; 95% CIs.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20</w:t>
            </w:r>
          </w:p>
        </w:tc>
        <w:tc>
          <w:tcPr>
            <w:tcW w:type="dxa" w:w="12600"/>
            <w:tcW w:w="12600" w:type="dxa"/>
            <w:vAlign w:val="top"/>
          </w:tcPr>
          <w:p>
            <w:pPr>
              <w:spacing w:after="40"/>
            </w:pPr>
            <w:r>
              <w:rPr>
                <w:sz w:val="17"/>
              </w:rPr>
            </w:r>
            <w:r>
              <w:rPr>
                <w:b/>
                <w:sz w:val="17"/>
              </w:rPr>
              <w:t xml:space="preserve">Check: </w:t>
            </w:r>
            <w:r>
              <w:rPr>
                <w:sz w:val="17"/>
              </w:rPr>
              <w:t>Check that claims, abstract, conclusions, and promotional language match design strength, multiplicity status, power, and uncertainty.</w:t>
            </w:r>
          </w:p>
          <w:p>
            <w:pPr>
              <w:spacing w:after="40"/>
            </w:pPr>
            <w:r>
              <w:rPr>
                <w:b/>
                <w:sz w:val="17"/>
              </w:rPr>
              <w:t xml:space="preserve">Why: </w:t>
            </w:r>
            <w:r>
              <w:rPr>
                <w:sz w:val="17"/>
              </w:rPr>
              <w:t>Overstated conclusions can mislead readers even when the statistical analysis is technically correct.</w:t>
            </w:r>
          </w:p>
          <w:p>
            <w:pPr>
              <w:spacing w:after="0"/>
            </w:pPr>
            <w:r>
              <w:rPr>
                <w:b/>
                <w:sz w:val="17"/>
              </w:rPr>
              <w:t xml:space="preserve">Evidence: </w:t>
            </w:r>
            <w:r>
              <w:rPr>
                <w:sz w:val="17"/>
              </w:rPr>
              <w:t>Abstract and conclusion wording; limitation section; labels such as confirmatory, exploratory, descriptive, hypothesis-generating.</w:t>
            </w:r>
          </w:p>
        </w:tc>
        <w:tc>
          <w:tcPr>
            <w:tcW w:type="dxa" w:w="1655"/>
            <w:tcW w:w="1655" w:type="dxa"/>
            <w:vAlign w:val="top"/>
          </w:tcPr>
          <w:p>
            <w:pPr>
              <w:jc w:val="left"/>
            </w:pPr>
            <w:r>
              <w:rPr>
                <w:sz w:val="17"/>
              </w:rPr>
              <w:t>[ ] Yes</w:t>
              <w:br/>
              <w:t>[ ] No</w:t>
              <w:br/>
              <w:t>[ ] N/A</w:t>
            </w:r>
          </w:p>
        </w:tc>
      </w:tr>
    </w:tbl>
    <w:p>
      <w:pPr>
        <w:spacing w:after="80" w:line="240" w:lineRule="auto"/>
      </w:pPr>
    </w:p>
    <w:p>
      <w:pPr>
        <w:spacing w:after="80" w:line="240" w:lineRule="auto"/>
      </w:pPr>
      <w:r>
        <w:rPr>
          <w:sz w:val="18"/>
        </w:rPr>
        <w:br w:type="page"/>
      </w:r>
    </w:p>
    <w:p>
      <w:pPr>
        <w:pStyle w:val="Heading1"/>
        <w:keepNext w:val="1"/>
      </w:pPr>
      <w:r/>
      <w:r>
        <w:t>Checklist 3 - Observational studies</w:t>
      </w:r>
    </w:p>
    <w:p>
      <w:pPr>
        <w:spacing w:after="80" w:line="240" w:lineRule="auto"/>
      </w:pPr>
      <w:r>
        <w:rPr>
          <w:sz w:val="18"/>
        </w:rPr>
        <w:t>Use for cohort, case-control, cross-sectional, registry, EHR, claims, real-world evidence, safety surveillance, comparative-effectiveness, prognostic, and database studies.</w:t>
      </w:r>
    </w:p>
    <w:tbl>
      <w:tblGrid>
        <w:gridCol w:w="792"/>
        <w:gridCol w:w="12600"/>
        <w:gridCol w:w="1655"/>
      </w:tblGrid>
      <w:tblPr>
        <w:tblStyle w:val="TableGrid"/>
        <w:tblW w:type="auto" w:w="0"/>
        <w:jc w:val="center"/>
        <w:tblLook w:firstColumn="1" w:firstRow="1" w:lastColumn="0" w:lastRow="0" w:noHBand="0" w:noVBand="1" w:val="04A0"/>
        <w:tblLayout w:type="fixed"/>
      </w:tblPr>
      <w:tr>
        <w:trPr>
          <w:tblHeader w:val="true"/>
          <w:cantSplit w:val="1"/>
        </w:trPr>
        <w:tc>
          <w:tcPr>
            <w:tcW w:type="dxa" w:w="4848"/>
            <w:tcW w:w="792" w:type="dxa"/>
            <w:shd w:fill="D9EAF7"/>
            <w:vAlign w:val="center"/>
          </w:tcPr>
          <w:p>
            <w:pPr>
              <w:jc w:val="center"/>
            </w:pPr>
            <w:r>
              <w:rPr>
                <w:b/>
                <w:sz w:val="17"/>
              </w:rPr>
              <w:t>Item</w:t>
            </w:r>
          </w:p>
        </w:tc>
        <w:tc>
          <w:tcPr>
            <w:tcW w:type="dxa" w:w="4848"/>
            <w:tcW w:w="12600" w:type="dxa"/>
            <w:shd w:fill="D9EAF7"/>
            <w:vAlign w:val="center"/>
          </w:tcPr>
          <w:p>
            <w:pPr>
              <w:jc w:val="center"/>
            </w:pPr>
            <w:r>
              <w:rPr>
                <w:b/>
                <w:sz w:val="17"/>
              </w:rPr>
              <w:t>Checklist item + concise rationale</w:t>
            </w:r>
          </w:p>
        </w:tc>
        <w:tc>
          <w:tcPr>
            <w:tcW w:type="dxa" w:w="4848"/>
            <w:tcW w:w="1655" w:type="dxa"/>
            <w:shd w:fill="D9EAF7"/>
            <w:vAlign w:val="center"/>
          </w:tcPr>
          <w:p>
            <w:pPr>
              <w:jc w:val="center"/>
            </w:pPr>
            <w:r>
              <w:rPr>
                <w:b/>
                <w:sz w:val="17"/>
              </w:rPr>
              <w:t>Checked?</w:t>
            </w:r>
          </w:p>
        </w:tc>
      </w:tr>
      <w:tr>
        <w:trPr>
          <w:cantSplit w:val="1"/>
        </w:trPr>
        <w:tc>
          <w:tcPr>
            <w:tcW w:type="dxa" w:w="792"/>
            <w:tcW w:w="792" w:type="dxa"/>
            <w:vAlign w:val="top"/>
          </w:tcPr>
          <w:p>
            <w:pPr>
              <w:jc w:val="center"/>
            </w:pPr>
            <w:r>
              <w:rPr>
                <w:b/>
                <w:sz w:val="17"/>
              </w:rPr>
              <w:t>1</w:t>
            </w:r>
          </w:p>
        </w:tc>
        <w:tc>
          <w:tcPr>
            <w:tcW w:type="dxa" w:w="12600"/>
            <w:tcW w:w="12600" w:type="dxa"/>
            <w:vAlign w:val="top"/>
          </w:tcPr>
          <w:p>
            <w:pPr>
              <w:spacing w:after="40"/>
            </w:pPr>
            <w:r>
              <w:rPr>
                <w:sz w:val="17"/>
              </w:rPr>
            </w:r>
            <w:r>
              <w:rPr>
                <w:b/>
                <w:sz w:val="17"/>
              </w:rPr>
              <w:t xml:space="preserve">Check: </w:t>
            </w:r>
            <w:r>
              <w:rPr>
                <w:sz w:val="17"/>
              </w:rPr>
              <w:t>Classify the question as descriptive, predictive, causal, comparative-effectiveness, safety, or prognostic, and confirm that language matches that objective.</w:t>
            </w:r>
          </w:p>
          <w:p>
            <w:pPr>
              <w:spacing w:after="40"/>
            </w:pPr>
            <w:r>
              <w:rPr>
                <w:b/>
                <w:sz w:val="17"/>
              </w:rPr>
              <w:t xml:space="preserve">Why: </w:t>
            </w:r>
            <w:r>
              <w:rPr>
                <w:sz w:val="17"/>
              </w:rPr>
              <w:t>The design and analysis must match whether the manuscript is estimating an association, risk prediction, or causal effect.</w:t>
            </w:r>
          </w:p>
          <w:p>
            <w:pPr>
              <w:spacing w:after="0"/>
            </w:pPr>
            <w:r>
              <w:rPr>
                <w:b/>
                <w:sz w:val="17"/>
              </w:rPr>
              <w:t xml:space="preserve">Evidence: </w:t>
            </w:r>
            <w:r>
              <w:rPr>
                <w:sz w:val="17"/>
              </w:rPr>
              <w:t>Study objective; protocol/SAP; title/abstract language; causal diagram or explicit rationale where causal language is used.</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2</w:t>
            </w:r>
          </w:p>
        </w:tc>
        <w:tc>
          <w:tcPr>
            <w:tcW w:type="dxa" w:w="12600"/>
            <w:tcW w:w="12600" w:type="dxa"/>
            <w:vAlign w:val="top"/>
          </w:tcPr>
          <w:p>
            <w:pPr>
              <w:spacing w:after="40"/>
            </w:pPr>
            <w:r>
              <w:rPr>
                <w:sz w:val="17"/>
              </w:rPr>
            </w:r>
            <w:r>
              <w:rPr>
                <w:b/>
                <w:sz w:val="17"/>
              </w:rPr>
              <w:t xml:space="preserve">Check: </w:t>
            </w:r>
            <w:r>
              <w:rPr>
                <w:sz w:val="17"/>
              </w:rPr>
              <w:t>Verify protocol, analysis plan, registry, or internal concept sheet dates, including prespecified exposure, outcome, covariates, subgroups, and sensitivity analyses.</w:t>
            </w:r>
          </w:p>
          <w:p>
            <w:pPr>
              <w:spacing w:after="40"/>
            </w:pPr>
            <w:r>
              <w:rPr>
                <w:b/>
                <w:sz w:val="17"/>
              </w:rPr>
              <w:t xml:space="preserve">Why: </w:t>
            </w:r>
            <w:r>
              <w:rPr>
                <w:sz w:val="17"/>
              </w:rPr>
              <w:t>Observational studies are vulnerable to analytic flexibility and selective reporting.</w:t>
            </w:r>
          </w:p>
          <w:p>
            <w:pPr>
              <w:spacing w:after="0"/>
            </w:pPr>
            <w:r>
              <w:rPr>
                <w:b/>
                <w:sz w:val="17"/>
              </w:rPr>
              <w:t xml:space="preserve">Evidence: </w:t>
            </w:r>
            <w:r>
              <w:rPr>
                <w:sz w:val="17"/>
              </w:rPr>
              <w:t>Dated protocol/SAP; registry record; version history; list of deviations from plan.</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3</w:t>
            </w:r>
          </w:p>
        </w:tc>
        <w:tc>
          <w:tcPr>
            <w:tcW w:type="dxa" w:w="12600"/>
            <w:tcW w:w="12600" w:type="dxa"/>
            <w:vAlign w:val="top"/>
          </w:tcPr>
          <w:p>
            <w:pPr>
              <w:spacing w:after="40"/>
            </w:pPr>
            <w:r>
              <w:rPr>
                <w:sz w:val="17"/>
              </w:rPr>
            </w:r>
            <w:r>
              <w:rPr>
                <w:b/>
                <w:sz w:val="17"/>
              </w:rPr>
              <w:t xml:space="preserve">Check: </w:t>
            </w:r>
            <w:r>
              <w:rPr>
                <w:sz w:val="17"/>
              </w:rPr>
              <w:t>Confirm the observational design is clearly stated and appropriate: cohort, case-control, nested case-control, cross-sectional, case-crossover, self-controlled, registry, or database study.</w:t>
            </w:r>
          </w:p>
          <w:p>
            <w:pPr>
              <w:spacing w:after="40"/>
            </w:pPr>
            <w:r>
              <w:rPr>
                <w:b/>
                <w:sz w:val="17"/>
              </w:rPr>
              <w:t xml:space="preserve">Why: </w:t>
            </w:r>
            <w:r>
              <w:rPr>
                <w:sz w:val="17"/>
              </w:rPr>
              <w:t>Different designs have different selection, timing, and bias structures.</w:t>
            </w:r>
          </w:p>
          <w:p>
            <w:pPr>
              <w:spacing w:after="0"/>
            </w:pPr>
            <w:r>
              <w:rPr>
                <w:b/>
                <w:sz w:val="17"/>
              </w:rPr>
              <w:t xml:space="preserve">Evidence: </w:t>
            </w:r>
            <w:r>
              <w:rPr>
                <w:sz w:val="17"/>
              </w:rPr>
              <w:t>Methods section; design diagram; eligibility criteria; index date; sampling frame.</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4</w:t>
            </w:r>
          </w:p>
        </w:tc>
        <w:tc>
          <w:tcPr>
            <w:tcW w:type="dxa" w:w="12600"/>
            <w:tcW w:w="12600" w:type="dxa"/>
            <w:vAlign w:val="top"/>
          </w:tcPr>
          <w:p>
            <w:pPr>
              <w:spacing w:after="40"/>
            </w:pPr>
            <w:r>
              <w:rPr>
                <w:sz w:val="17"/>
              </w:rPr>
            </w:r>
            <w:r>
              <w:rPr>
                <w:b/>
                <w:sz w:val="17"/>
              </w:rPr>
              <w:t xml:space="preserve">Check: </w:t>
            </w:r>
            <w:r>
              <w:rPr>
                <w:sz w:val="17"/>
              </w:rPr>
              <w:t>Assess data source fitness for purpose, including provenance, capture process, coding systems, completeness, linkage quality, and calendar-time coverage.</w:t>
            </w:r>
          </w:p>
          <w:p>
            <w:pPr>
              <w:spacing w:after="40"/>
            </w:pPr>
            <w:r>
              <w:rPr>
                <w:b/>
                <w:sz w:val="17"/>
              </w:rPr>
              <w:t xml:space="preserve">Why: </w:t>
            </w:r>
            <w:r>
              <w:rPr>
                <w:sz w:val="17"/>
              </w:rPr>
              <w:t>Administrative, EHR, registry, claims, and survey data may not capture exposures, outcomes, or confounders with equal validity.</w:t>
            </w:r>
          </w:p>
          <w:p>
            <w:pPr>
              <w:spacing w:after="0"/>
            </w:pPr>
            <w:r>
              <w:rPr>
                <w:b/>
                <w:sz w:val="17"/>
              </w:rPr>
              <w:t xml:space="preserve">Evidence: </w:t>
            </w:r>
            <w:r>
              <w:rPr>
                <w:sz w:val="17"/>
              </w:rPr>
              <w:t>Data dictionary; coding algorithms; linkage reports; completeness summaries; validation citations or internal validation.</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5</w:t>
            </w:r>
          </w:p>
        </w:tc>
        <w:tc>
          <w:tcPr>
            <w:tcW w:type="dxa" w:w="12600"/>
            <w:tcW w:w="12600" w:type="dxa"/>
            <w:vAlign w:val="top"/>
          </w:tcPr>
          <w:p>
            <w:pPr>
              <w:spacing w:after="40"/>
            </w:pPr>
            <w:r>
              <w:rPr>
                <w:sz w:val="17"/>
              </w:rPr>
            </w:r>
            <w:r>
              <w:rPr>
                <w:b/>
                <w:sz w:val="17"/>
              </w:rPr>
              <w:t xml:space="preserve">Check: </w:t>
            </w:r>
            <w:r>
              <w:rPr>
                <w:sz w:val="17"/>
              </w:rPr>
              <w:t>Check cohort selection, eligibility windows, washout periods, incident versus prevalent user definition, index date, and attrition flow.</w:t>
            </w:r>
          </w:p>
          <w:p>
            <w:pPr>
              <w:spacing w:after="40"/>
            </w:pPr>
            <w:r>
              <w:rPr>
                <w:b/>
                <w:sz w:val="17"/>
              </w:rPr>
              <w:t xml:space="preserve">Why: </w:t>
            </w:r>
            <w:r>
              <w:rPr>
                <w:sz w:val="17"/>
              </w:rPr>
              <w:t>Mis-specified entry criteria can create immortal time, depletion of susceptibles, or selection bias.</w:t>
            </w:r>
          </w:p>
          <w:p>
            <w:pPr>
              <w:spacing w:after="0"/>
            </w:pPr>
            <w:r>
              <w:rPr>
                <w:b/>
                <w:sz w:val="17"/>
              </w:rPr>
              <w:t xml:space="preserve">Evidence: </w:t>
            </w:r>
            <w:r>
              <w:rPr>
                <w:sz w:val="17"/>
              </w:rPr>
              <w:t>Cohort attrition table; index-date algorithm; eligibility lookback; new-user criteria; flow diagram.</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6</w:t>
            </w:r>
          </w:p>
        </w:tc>
        <w:tc>
          <w:tcPr>
            <w:tcW w:type="dxa" w:w="12600"/>
            <w:tcW w:w="12600" w:type="dxa"/>
            <w:vAlign w:val="top"/>
          </w:tcPr>
          <w:p>
            <w:pPr>
              <w:spacing w:after="40"/>
            </w:pPr>
            <w:r>
              <w:rPr>
                <w:sz w:val="17"/>
              </w:rPr>
            </w:r>
            <w:r>
              <w:rPr>
                <w:b/>
                <w:sz w:val="17"/>
              </w:rPr>
              <w:t xml:space="preserve">Check: </w:t>
            </w:r>
            <w:r>
              <w:rPr>
                <w:sz w:val="17"/>
              </w:rPr>
              <w:t>Review exposure definition, timing, dose/duration, adherence, switching, discontinuation, and whether exposure is fixed or time-varying.</w:t>
            </w:r>
          </w:p>
          <w:p>
            <w:pPr>
              <w:spacing w:after="40"/>
            </w:pPr>
            <w:r>
              <w:rPr>
                <w:b/>
                <w:sz w:val="17"/>
              </w:rPr>
              <w:t xml:space="preserve">Why: </w:t>
            </w:r>
            <w:r>
              <w:rPr>
                <w:sz w:val="17"/>
              </w:rPr>
              <w:t>Exposure misclassification and time-varying exposure handling can strongly affect estimated associations.</w:t>
            </w:r>
          </w:p>
          <w:p>
            <w:pPr>
              <w:spacing w:after="0"/>
            </w:pPr>
            <w:r>
              <w:rPr>
                <w:b/>
                <w:sz w:val="17"/>
              </w:rPr>
              <w:t xml:space="preserve">Evidence: </w:t>
            </w:r>
            <w:r>
              <w:rPr>
                <w:sz w:val="17"/>
              </w:rPr>
              <w:t>Exposure codes; medication fill/admin data; grace periods; as-treated/intention-to-treat analog; time-varying model plan.</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7</w:t>
            </w:r>
          </w:p>
        </w:tc>
        <w:tc>
          <w:tcPr>
            <w:tcW w:type="dxa" w:w="12600"/>
            <w:tcW w:w="12600" w:type="dxa"/>
            <w:vAlign w:val="top"/>
          </w:tcPr>
          <w:p>
            <w:pPr>
              <w:spacing w:after="40"/>
            </w:pPr>
            <w:r>
              <w:rPr>
                <w:sz w:val="17"/>
              </w:rPr>
            </w:r>
            <w:r>
              <w:rPr>
                <w:b/>
                <w:sz w:val="17"/>
              </w:rPr>
              <w:t xml:space="preserve">Check: </w:t>
            </w:r>
            <w:r>
              <w:rPr>
                <w:sz w:val="17"/>
              </w:rPr>
              <w:t>Review outcome definition, ascertainment window, validation, severity grading, repeated events, and adjudication if available.</w:t>
            </w:r>
          </w:p>
          <w:p>
            <w:pPr>
              <w:spacing w:after="40"/>
            </w:pPr>
            <w:r>
              <w:rPr>
                <w:b/>
                <w:sz w:val="17"/>
              </w:rPr>
              <w:t xml:space="preserve">Why: </w:t>
            </w:r>
            <w:r>
              <w:rPr>
                <w:sz w:val="17"/>
              </w:rPr>
              <w:t>Outcome misclassification can bias results and may differ by exposure or follow-up intensity.</w:t>
            </w:r>
          </w:p>
          <w:p>
            <w:pPr>
              <w:spacing w:after="0"/>
            </w:pPr>
            <w:r>
              <w:rPr>
                <w:b/>
                <w:sz w:val="17"/>
              </w:rPr>
              <w:t xml:space="preserve">Evidence: </w:t>
            </w:r>
            <w:r>
              <w:rPr>
                <w:sz w:val="17"/>
              </w:rPr>
              <w:t>Outcome algorithms; validation PPV/sensitivity; adjudication process; look-forward windows; event hierarchy.</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8</w:t>
            </w:r>
          </w:p>
        </w:tc>
        <w:tc>
          <w:tcPr>
            <w:tcW w:type="dxa" w:w="12600"/>
            <w:tcW w:w="12600" w:type="dxa"/>
            <w:vAlign w:val="top"/>
          </w:tcPr>
          <w:p>
            <w:pPr>
              <w:spacing w:after="40"/>
            </w:pPr>
            <w:r>
              <w:rPr>
                <w:sz w:val="17"/>
              </w:rPr>
            </w:r>
            <w:r>
              <w:rPr>
                <w:b/>
                <w:sz w:val="17"/>
              </w:rPr>
              <w:t xml:space="preserve">Check: </w:t>
            </w:r>
            <w:r>
              <w:rPr>
                <w:sz w:val="17"/>
              </w:rPr>
              <w:t>Check confounder identification, measurement windows, availability, and whether confounders occur before exposure/index date.</w:t>
            </w:r>
          </w:p>
          <w:p>
            <w:pPr>
              <w:spacing w:after="40"/>
            </w:pPr>
            <w:r>
              <w:rPr>
                <w:b/>
                <w:sz w:val="17"/>
              </w:rPr>
              <w:t xml:space="preserve">Why: </w:t>
            </w:r>
            <w:r>
              <w:rPr>
                <w:sz w:val="17"/>
              </w:rPr>
              <w:t>Adjusting for variables measured after exposure can introduce bias, while omitting true confounders can create spurious associations.</w:t>
            </w:r>
          </w:p>
          <w:p>
            <w:pPr>
              <w:spacing w:after="0"/>
            </w:pPr>
            <w:r>
              <w:rPr>
                <w:b/>
                <w:sz w:val="17"/>
              </w:rPr>
              <w:t xml:space="preserve">Evidence: </w:t>
            </w:r>
            <w:r>
              <w:rPr>
                <w:sz w:val="17"/>
              </w:rPr>
              <w:t>Covariate list; causal diagram; baseline table; measurement windows; clinical justification for confounders.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9</w:t>
            </w:r>
          </w:p>
        </w:tc>
        <w:tc>
          <w:tcPr>
            <w:tcW w:type="dxa" w:w="12600"/>
            <w:tcW w:w="12600" w:type="dxa"/>
            <w:vAlign w:val="top"/>
          </w:tcPr>
          <w:p>
            <w:pPr>
              <w:spacing w:after="40"/>
            </w:pPr>
            <w:r>
              <w:rPr>
                <w:sz w:val="17"/>
              </w:rPr>
            </w:r>
            <w:r>
              <w:rPr>
                <w:b/>
                <w:sz w:val="17"/>
              </w:rPr>
              <w:t xml:space="preserve">Check: </w:t>
            </w:r>
            <w:r>
              <w:rPr>
                <w:sz w:val="17"/>
              </w:rPr>
              <w:t>Evaluate confounding-control method: restriction, matching, stratification, multivariable regression, propensity score matching/weighting/stratification, g-methods, or instrumental variables.</w:t>
            </w:r>
          </w:p>
          <w:p>
            <w:pPr>
              <w:spacing w:after="40"/>
            </w:pPr>
            <w:r>
              <w:rPr>
                <w:b/>
                <w:sz w:val="17"/>
              </w:rPr>
              <w:t xml:space="preserve">Why: </w:t>
            </w:r>
            <w:r>
              <w:rPr>
                <w:sz w:val="17"/>
              </w:rPr>
              <w:t>The method must be appropriate to the causal structure, sample size, overlap, and estimand.</w:t>
            </w:r>
          </w:p>
          <w:p>
            <w:pPr>
              <w:spacing w:after="0"/>
            </w:pPr>
            <w:r>
              <w:rPr>
                <w:b/>
                <w:sz w:val="17"/>
              </w:rPr>
              <w:t xml:space="preserve">Evidence: </w:t>
            </w:r>
            <w:r>
              <w:rPr>
                <w:sz w:val="17"/>
              </w:rPr>
              <w:t>Method specification; propensity score model; matching caliper; weighting method; covariate balance diagnostics; IV assumptions if used.</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10</w:t>
            </w:r>
          </w:p>
        </w:tc>
        <w:tc>
          <w:tcPr>
            <w:tcW w:type="dxa" w:w="12600"/>
            <w:tcW w:w="12600" w:type="dxa"/>
            <w:vAlign w:val="top"/>
          </w:tcPr>
          <w:p>
            <w:pPr>
              <w:spacing w:after="40"/>
            </w:pPr>
            <w:r>
              <w:rPr>
                <w:sz w:val="17"/>
              </w:rPr>
            </w:r>
            <w:r>
              <w:rPr>
                <w:b/>
                <w:sz w:val="17"/>
              </w:rPr>
              <w:t xml:space="preserve">Check: </w:t>
            </w:r>
            <w:r>
              <w:rPr>
                <w:sz w:val="17"/>
              </w:rPr>
              <w:t>Assess covariate balance, overlap/positivity, influential weights, and residual imbalance after adjustment.</w:t>
            </w:r>
          </w:p>
          <w:p>
            <w:pPr>
              <w:spacing w:after="40"/>
            </w:pPr>
            <w:r>
              <w:rPr>
                <w:b/>
                <w:sz w:val="17"/>
              </w:rPr>
              <w:t xml:space="preserve">Why: </w:t>
            </w:r>
            <w:r>
              <w:rPr>
                <w:sz w:val="17"/>
              </w:rPr>
              <w:t>Good adjustment requires comparable groups; poor overlap makes estimates extrapolative or unstable.</w:t>
            </w:r>
          </w:p>
          <w:p>
            <w:pPr>
              <w:spacing w:after="0"/>
            </w:pPr>
            <w:r>
              <w:rPr>
                <w:b/>
                <w:sz w:val="17"/>
              </w:rPr>
              <w:t xml:space="preserve">Evidence: </w:t>
            </w:r>
            <w:r>
              <w:rPr>
                <w:sz w:val="17"/>
              </w:rPr>
              <w:t>Standardized mean differences; propensity score distributions; effective sample size; weight truncation; balance plots.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11</w:t>
            </w:r>
          </w:p>
        </w:tc>
        <w:tc>
          <w:tcPr>
            <w:tcW w:type="dxa" w:w="12600"/>
            <w:tcW w:w="12600" w:type="dxa"/>
            <w:vAlign w:val="top"/>
          </w:tcPr>
          <w:p>
            <w:pPr>
              <w:spacing w:after="40"/>
            </w:pPr>
            <w:r>
              <w:rPr>
                <w:sz w:val="17"/>
              </w:rPr>
            </w:r>
            <w:r>
              <w:rPr>
                <w:b/>
                <w:sz w:val="17"/>
              </w:rPr>
              <w:t xml:space="preserve">Check: </w:t>
            </w:r>
            <w:r>
              <w:rPr>
                <w:sz w:val="17"/>
              </w:rPr>
              <w:t>Screen for time-related biases: immortal time, time-lag, latency, left truncation, informative censoring, and differential follow-up.</w:t>
            </w:r>
          </w:p>
          <w:p>
            <w:pPr>
              <w:spacing w:after="40"/>
            </w:pPr>
            <w:r>
              <w:rPr>
                <w:b/>
                <w:sz w:val="17"/>
              </w:rPr>
              <w:t xml:space="preserve">Why: </w:t>
            </w:r>
            <w:r>
              <w:rPr>
                <w:sz w:val="17"/>
              </w:rPr>
              <w:t>Incorrect time alignment is a common source of biased observational estimates.</w:t>
            </w:r>
          </w:p>
          <w:p>
            <w:pPr>
              <w:spacing w:after="0"/>
            </w:pPr>
            <w:r>
              <w:rPr>
                <w:b/>
                <w:sz w:val="17"/>
              </w:rPr>
              <w:t xml:space="preserve">Evidence: </w:t>
            </w:r>
            <w:r>
              <w:rPr>
                <w:sz w:val="17"/>
              </w:rPr>
              <w:t>Timeline diagram; start of follow-up; exposure assessment period; censoring rules; follow-up summaries by group.</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12</w:t>
            </w:r>
          </w:p>
        </w:tc>
        <w:tc>
          <w:tcPr>
            <w:tcW w:type="dxa" w:w="12600"/>
            <w:tcW w:w="12600" w:type="dxa"/>
            <w:vAlign w:val="top"/>
          </w:tcPr>
          <w:p>
            <w:pPr>
              <w:spacing w:after="40"/>
            </w:pPr>
            <w:r>
              <w:rPr>
                <w:sz w:val="17"/>
              </w:rPr>
            </w:r>
            <w:r>
              <w:rPr>
                <w:b/>
                <w:sz w:val="17"/>
              </w:rPr>
              <w:t xml:space="preserve">Check: </w:t>
            </w:r>
            <w:r>
              <w:rPr>
                <w:sz w:val="17"/>
              </w:rPr>
              <w:t>Check missing data in exposures, outcomes, covariates, follow-up, and linkage, including mechanism assumptions and imputation approach.</w:t>
            </w:r>
          </w:p>
          <w:p>
            <w:pPr>
              <w:spacing w:after="40"/>
            </w:pPr>
            <w:r>
              <w:rPr>
                <w:b/>
                <w:sz w:val="17"/>
              </w:rPr>
              <w:t xml:space="preserve">Why: </w:t>
            </w:r>
            <w:r>
              <w:rPr>
                <w:sz w:val="17"/>
              </w:rPr>
              <w:t>Missingness can distort adjusted estimates and reduce comparability between groups.</w:t>
            </w:r>
          </w:p>
          <w:p>
            <w:pPr>
              <w:spacing w:after="0"/>
            </w:pPr>
            <w:r>
              <w:rPr>
                <w:b/>
                <w:sz w:val="17"/>
              </w:rPr>
              <w:t xml:space="preserve">Evidence: </w:t>
            </w:r>
            <w:r>
              <w:rPr>
                <w:sz w:val="17"/>
              </w:rPr>
              <w:t>Missingness table; complete-case comparison; multiple imputation method; missing-indicator justification; sensitivity analyses.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13</w:t>
            </w:r>
          </w:p>
        </w:tc>
        <w:tc>
          <w:tcPr>
            <w:tcW w:type="dxa" w:w="12600"/>
            <w:tcW w:w="12600" w:type="dxa"/>
            <w:vAlign w:val="top"/>
          </w:tcPr>
          <w:p>
            <w:pPr>
              <w:spacing w:after="40"/>
            </w:pPr>
            <w:r>
              <w:rPr>
                <w:sz w:val="17"/>
              </w:rPr>
            </w:r>
            <w:r>
              <w:rPr>
                <w:b/>
                <w:sz w:val="17"/>
              </w:rPr>
              <w:t xml:space="preserve">Check: </w:t>
            </w:r>
            <w:r>
              <w:rPr>
                <w:sz w:val="17"/>
              </w:rPr>
              <w:t>Evaluate censoring, loss to follow-up, competing risks, death, disenrollment, and recurrent event handling.</w:t>
            </w:r>
          </w:p>
          <w:p>
            <w:pPr>
              <w:spacing w:after="40"/>
            </w:pPr>
            <w:r>
              <w:rPr>
                <w:b/>
                <w:sz w:val="17"/>
              </w:rPr>
              <w:t xml:space="preserve">Why: </w:t>
            </w:r>
            <w:r>
              <w:rPr>
                <w:sz w:val="17"/>
              </w:rPr>
              <w:t>Censoring and competing events can change the estimand and bias cumulative incidence or rate estimates.</w:t>
            </w:r>
          </w:p>
          <w:p>
            <w:pPr>
              <w:spacing w:after="0"/>
            </w:pPr>
            <w:r>
              <w:rPr>
                <w:b/>
                <w:sz w:val="17"/>
              </w:rPr>
              <w:t xml:space="preserve">Evidence: </w:t>
            </w:r>
            <w:r>
              <w:rPr>
                <w:sz w:val="17"/>
              </w:rPr>
              <w:t>Censoring summaries; competing-risk model where relevant; inverse probability of censoring weights; recurrent-event model.</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14</w:t>
            </w:r>
          </w:p>
        </w:tc>
        <w:tc>
          <w:tcPr>
            <w:tcW w:type="dxa" w:w="12600"/>
            <w:tcW w:w="12600" w:type="dxa"/>
            <w:vAlign w:val="top"/>
          </w:tcPr>
          <w:p>
            <w:pPr>
              <w:spacing w:after="40"/>
            </w:pPr>
            <w:r>
              <w:rPr>
                <w:sz w:val="17"/>
              </w:rPr>
            </w:r>
            <w:r>
              <w:rPr>
                <w:b/>
                <w:sz w:val="17"/>
              </w:rPr>
              <w:t xml:space="preserve">Check: </w:t>
            </w:r>
            <w:r>
              <w:rPr>
                <w:sz w:val="17"/>
              </w:rPr>
              <w:t>Review model choice and assumptions for outcome type: linear, logistic, ordinal, Poisson/negative binomial, Cox, flexible parametric, competing-risk, mixed, or clustered models.</w:t>
            </w:r>
          </w:p>
          <w:p>
            <w:pPr>
              <w:spacing w:after="40"/>
            </w:pPr>
            <w:r>
              <w:rPr>
                <w:b/>
                <w:sz w:val="17"/>
              </w:rPr>
              <w:t xml:space="preserve">Why: </w:t>
            </w:r>
            <w:r>
              <w:rPr>
                <w:sz w:val="17"/>
              </w:rPr>
              <w:t>Incorrect models or unaddressed clustering can produce biased estimates or invalid uncertainty intervals.</w:t>
            </w:r>
          </w:p>
          <w:p>
            <w:pPr>
              <w:spacing w:after="0"/>
            </w:pPr>
            <w:r>
              <w:rPr>
                <w:b/>
                <w:sz w:val="17"/>
              </w:rPr>
              <w:t xml:space="preserve">Evidence: </w:t>
            </w:r>
            <w:r>
              <w:rPr>
                <w:sz w:val="17"/>
              </w:rPr>
              <w:t>Model formula; diagnostics; proportional hazards checks; overdispersion checks; cluster-robust SEs; random effects if applicable.</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15</w:t>
            </w:r>
          </w:p>
        </w:tc>
        <w:tc>
          <w:tcPr>
            <w:tcW w:type="dxa" w:w="12600"/>
            <w:tcW w:w="12600" w:type="dxa"/>
            <w:vAlign w:val="top"/>
          </w:tcPr>
          <w:p>
            <w:pPr>
              <w:spacing w:after="40"/>
            </w:pPr>
            <w:r>
              <w:rPr>
                <w:sz w:val="17"/>
              </w:rPr>
            </w:r>
            <w:r>
              <w:rPr>
                <w:b/>
                <w:sz w:val="17"/>
              </w:rPr>
              <w:t xml:space="preserve">Check: </w:t>
            </w:r>
            <w:r>
              <w:rPr>
                <w:sz w:val="17"/>
              </w:rPr>
              <w:t>Assess subgroup, interaction, effect modification, and heterogeneity analyses for clinical rationale, prespecification, multiplicity context, and precision.</w:t>
            </w:r>
          </w:p>
          <w:p>
            <w:pPr>
              <w:spacing w:after="40"/>
            </w:pPr>
            <w:r>
              <w:rPr>
                <w:b/>
                <w:sz w:val="17"/>
              </w:rPr>
              <w:t xml:space="preserve">Why: </w:t>
            </w:r>
            <w:r>
              <w:rPr>
                <w:sz w:val="17"/>
              </w:rPr>
              <w:t>Post-hoc subgroup findings can be chance findings and should not drive causal claims without support.</w:t>
            </w:r>
          </w:p>
          <w:p>
            <w:pPr>
              <w:spacing w:after="0"/>
            </w:pPr>
            <w:r>
              <w:rPr>
                <w:b/>
                <w:sz w:val="17"/>
              </w:rPr>
              <w:t xml:space="preserve">Evidence: </w:t>
            </w:r>
            <w:r>
              <w:rPr>
                <w:sz w:val="17"/>
              </w:rPr>
              <w:t>Subgroup list; interaction terms; confidence intervals; multiplicity note; exploratory labeling.</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16</w:t>
            </w:r>
          </w:p>
        </w:tc>
        <w:tc>
          <w:tcPr>
            <w:tcW w:type="dxa" w:w="12600"/>
            <w:tcW w:w="12600" w:type="dxa"/>
            <w:vAlign w:val="top"/>
          </w:tcPr>
          <w:p>
            <w:pPr>
              <w:spacing w:after="40"/>
            </w:pPr>
            <w:r>
              <w:rPr>
                <w:sz w:val="17"/>
              </w:rPr>
            </w:r>
            <w:r>
              <w:rPr>
                <w:b/>
                <w:sz w:val="17"/>
              </w:rPr>
              <w:t xml:space="preserve">Check: </w:t>
            </w:r>
            <w:r>
              <w:rPr>
                <w:sz w:val="17"/>
              </w:rPr>
              <w:t>Check sensitivity analyses for unmeasured confounding, alternative exposure/outcome definitions, lag periods, censoring, missing data, negative controls, and quantitative bias analysis.</w:t>
            </w:r>
          </w:p>
          <w:p>
            <w:pPr>
              <w:spacing w:after="40"/>
            </w:pPr>
            <w:r>
              <w:rPr>
                <w:b/>
                <w:sz w:val="17"/>
              </w:rPr>
              <w:t xml:space="preserve">Why: </w:t>
            </w:r>
            <w:r>
              <w:rPr>
                <w:sz w:val="17"/>
              </w:rPr>
              <w:t>Observational conclusions are only credible when key biases are probed transparently.</w:t>
            </w:r>
          </w:p>
          <w:p>
            <w:pPr>
              <w:spacing w:after="0"/>
            </w:pPr>
            <w:r>
              <w:rPr>
                <w:b/>
                <w:sz w:val="17"/>
              </w:rPr>
              <w:t xml:space="preserve">Evidence: </w:t>
            </w:r>
            <w:r>
              <w:rPr>
                <w:sz w:val="17"/>
              </w:rPr>
              <w:t>E-values or bias parameters; negative/positive control analyses; alternate algorithms; lagged analyses; falsification endpoints.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17</w:t>
            </w:r>
          </w:p>
        </w:tc>
        <w:tc>
          <w:tcPr>
            <w:tcW w:type="dxa" w:w="12600"/>
            <w:tcW w:w="12600" w:type="dxa"/>
            <w:vAlign w:val="top"/>
          </w:tcPr>
          <w:p>
            <w:pPr>
              <w:spacing w:after="40"/>
            </w:pPr>
            <w:r>
              <w:rPr>
                <w:sz w:val="17"/>
              </w:rPr>
            </w:r>
            <w:r>
              <w:rPr>
                <w:b/>
                <w:sz w:val="17"/>
              </w:rPr>
              <w:t xml:space="preserve">Check: </w:t>
            </w:r>
            <w:r>
              <w:rPr>
                <w:sz w:val="17"/>
              </w:rPr>
              <w:t>Confirm estimates are reported with confidence intervals, absolute risks/rates, standardized risks, and clinically interpretable measures when possible.</w:t>
            </w:r>
          </w:p>
          <w:p>
            <w:pPr>
              <w:spacing w:after="40"/>
            </w:pPr>
            <w:r>
              <w:rPr>
                <w:b/>
                <w:sz w:val="17"/>
              </w:rPr>
              <w:t xml:space="preserve">Why: </w:t>
            </w:r>
            <w:r>
              <w:rPr>
                <w:sz w:val="17"/>
              </w:rPr>
              <w:t>Relative measures alone can exaggerate practical importance when baseline risk is low.</w:t>
            </w:r>
          </w:p>
          <w:p>
            <w:pPr>
              <w:spacing w:after="0"/>
            </w:pPr>
            <w:r>
              <w:rPr>
                <w:b/>
                <w:sz w:val="17"/>
              </w:rPr>
              <w:t xml:space="preserve">Evidence: </w:t>
            </w:r>
            <w:r>
              <w:rPr>
                <w:sz w:val="17"/>
              </w:rPr>
              <w:t>Adjusted risk differences, risk ratios, hazard ratios, incidence rates, cumulative incidence, number needed to treat/harm if appropriate.</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18</w:t>
            </w:r>
          </w:p>
        </w:tc>
        <w:tc>
          <w:tcPr>
            <w:tcW w:type="dxa" w:w="12600"/>
            <w:tcW w:w="12600" w:type="dxa"/>
            <w:vAlign w:val="top"/>
          </w:tcPr>
          <w:p>
            <w:pPr>
              <w:spacing w:after="40"/>
            </w:pPr>
            <w:r>
              <w:rPr>
                <w:sz w:val="17"/>
              </w:rPr>
            </w:r>
            <w:r>
              <w:rPr>
                <w:b/>
                <w:sz w:val="17"/>
              </w:rPr>
              <w:t xml:space="preserve">Check: </w:t>
            </w:r>
            <w:r>
              <w:rPr>
                <w:sz w:val="17"/>
              </w:rPr>
              <w:t>Assess generalizability, transportability, and representativeness of the data source and analytic sample.</w:t>
            </w:r>
          </w:p>
          <w:p>
            <w:pPr>
              <w:spacing w:after="40"/>
            </w:pPr>
            <w:r>
              <w:rPr>
                <w:b/>
                <w:sz w:val="17"/>
              </w:rPr>
              <w:t xml:space="preserve">Why: </w:t>
            </w:r>
            <w:r>
              <w:rPr>
                <w:sz w:val="17"/>
              </w:rPr>
              <w:t>Database populations may not represent the target population for clinical or policy decisions.</w:t>
            </w:r>
          </w:p>
          <w:p>
            <w:pPr>
              <w:spacing w:after="0"/>
            </w:pPr>
            <w:r>
              <w:rPr>
                <w:b/>
                <w:sz w:val="17"/>
              </w:rPr>
              <w:t xml:space="preserve">Evidence: </w:t>
            </w:r>
            <w:r>
              <w:rPr>
                <w:sz w:val="17"/>
              </w:rPr>
              <w:t>Population description; inclusion/exclusion impact; demographic and clinical distribution; comparison with target population.</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19</w:t>
            </w:r>
          </w:p>
        </w:tc>
        <w:tc>
          <w:tcPr>
            <w:tcW w:type="dxa" w:w="12600"/>
            <w:tcW w:w="12600" w:type="dxa"/>
            <w:vAlign w:val="top"/>
          </w:tcPr>
          <w:p>
            <w:pPr>
              <w:spacing w:after="40"/>
            </w:pPr>
            <w:r>
              <w:rPr>
                <w:sz w:val="17"/>
              </w:rPr>
            </w:r>
            <w:r>
              <w:rPr>
                <w:b/>
                <w:sz w:val="17"/>
              </w:rPr>
              <w:t xml:space="preserve">Check: </w:t>
            </w:r>
            <w:r>
              <w:rPr>
                <w:sz w:val="17"/>
              </w:rPr>
              <w:t>Check transparency and reproducibility: STROBE/RECORD-style reporting, attrition flow, code lists, analysis code, data access statement, and funding/conflicts.</w:t>
            </w:r>
          </w:p>
          <w:p>
            <w:pPr>
              <w:spacing w:after="40"/>
            </w:pPr>
            <w:r>
              <w:rPr>
                <w:b/>
                <w:sz w:val="17"/>
              </w:rPr>
              <w:t xml:space="preserve">Why: </w:t>
            </w:r>
            <w:r>
              <w:rPr>
                <w:sz w:val="17"/>
              </w:rPr>
              <w:t>Transparent reporting allows readers to evaluate bias, replicate algorithms, and understand sponsor influence.</w:t>
            </w:r>
          </w:p>
          <w:p>
            <w:pPr>
              <w:spacing w:after="0"/>
            </w:pPr>
            <w:r>
              <w:rPr>
                <w:b/>
                <w:sz w:val="17"/>
              </w:rPr>
              <w:t xml:space="preserve">Evidence: </w:t>
            </w:r>
            <w:r>
              <w:rPr>
                <w:sz w:val="17"/>
              </w:rPr>
              <w:t>Completed reporting checklist; code lists; data availability statement; funding and role of funder; reproducible tables/figures.</w:t>
            </w:r>
          </w:p>
        </w:tc>
        <w:tc>
          <w:tcPr>
            <w:tcW w:type="dxa" w:w="1655"/>
            <w:tcW w:w="1655" w:type="dxa"/>
            <w:vAlign w:val="top"/>
          </w:tcPr>
          <w:p>
            <w:pPr>
              <w:jc w:val="left"/>
            </w:pPr>
            <w:r>
              <w:rPr>
                <w:sz w:val="17"/>
              </w:rPr>
              <w:t>[ ] Yes</w:t>
              <w:br/>
              <w:t>[ ] No</w:t>
              <w:br/>
              <w:t>[ ] N/A</w:t>
            </w:r>
          </w:p>
        </w:tc>
      </w:tr>
      <w:tr>
        <w:trPr>
          <w:cantSplit w:val="1"/>
        </w:trPr>
        <w:tc>
          <w:tcPr>
            <w:tcW w:type="dxa" w:w="792"/>
            <w:tcW w:w="792" w:type="dxa"/>
            <w:vAlign w:val="top"/>
          </w:tcPr>
          <w:p>
            <w:pPr>
              <w:jc w:val="center"/>
            </w:pPr>
            <w:r>
              <w:rPr>
                <w:b/>
                <w:sz w:val="17"/>
              </w:rPr>
              <w:t>20</w:t>
            </w:r>
          </w:p>
        </w:tc>
        <w:tc>
          <w:tcPr>
            <w:tcW w:type="dxa" w:w="12600"/>
            <w:tcW w:w="12600" w:type="dxa"/>
            <w:vAlign w:val="top"/>
          </w:tcPr>
          <w:p>
            <w:pPr>
              <w:spacing w:after="40"/>
            </w:pPr>
            <w:r>
              <w:rPr>
                <w:sz w:val="17"/>
              </w:rPr>
            </w:r>
            <w:r>
              <w:rPr>
                <w:b/>
                <w:sz w:val="17"/>
              </w:rPr>
              <w:t xml:space="preserve">Check: </w:t>
            </w:r>
            <w:r>
              <w:rPr>
                <w:sz w:val="17"/>
              </w:rPr>
              <w:t>Ensure conclusion language distinguishes association from causation and acknowledges residual confounding, measurement error, and selection bias.</w:t>
            </w:r>
          </w:p>
          <w:p>
            <w:pPr>
              <w:spacing w:after="40"/>
            </w:pPr>
            <w:r>
              <w:rPr>
                <w:b/>
                <w:sz w:val="17"/>
              </w:rPr>
              <w:t xml:space="preserve">Why: </w:t>
            </w:r>
            <w:r>
              <w:rPr>
                <w:sz w:val="17"/>
              </w:rPr>
              <w:t>Even well-adjusted observational analyses can have residual bias; wording must not overclaim.</w:t>
            </w:r>
          </w:p>
          <w:p>
            <w:pPr>
              <w:spacing w:after="0"/>
            </w:pPr>
            <w:r>
              <w:rPr>
                <w:b/>
                <w:sz w:val="17"/>
              </w:rPr>
              <w:t xml:space="preserve">Evidence: </w:t>
            </w:r>
            <w:r>
              <w:rPr>
                <w:sz w:val="17"/>
              </w:rPr>
              <w:t>Abstract, discussion, limitations, and conclusion wording; explicit statement of unmeasured/residual confounding.</w:t>
            </w:r>
          </w:p>
        </w:tc>
        <w:tc>
          <w:tcPr>
            <w:tcW w:type="dxa" w:w="1655"/>
            <w:tcW w:w="1655" w:type="dxa"/>
            <w:vAlign w:val="top"/>
          </w:tcPr>
          <w:p>
            <w:pPr>
              <w:jc w:val="left"/>
            </w:pPr>
            <w:r>
              <w:rPr>
                <w:sz w:val="17"/>
              </w:rPr>
              <w:t>[ ] Yes</w:t>
              <w:br/>
              <w:t>[ ] No</w:t>
              <w:br/>
              <w:t>[ ] N/A</w:t>
            </w:r>
          </w:p>
        </w:tc>
      </w:tr>
    </w:tbl>
    <w:p>
      <w:pPr>
        <w:spacing w:after="80" w:line="240" w:lineRule="auto"/>
      </w:pPr>
    </w:p>
    <w:p>
      <w:pPr>
        <w:pStyle w:val="Heading1"/>
        <w:keepNext w:val="1"/>
      </w:pPr>
      <w:r>
        <w:t>Reviewer wording bank</w:t>
      </w:r>
    </w:p>
    <w:tbl>
      <w:tblPr>
        <w:tblStyle w:val="TableGrid"/>
        <w:tblW w:type="auto" w:w="0"/>
        <w:tblLayout w:type="fixed"/>
        <w:tblLook w:firstColumn="1" w:firstRow="1" w:lastColumn="0" w:lastRow="0" w:noHBand="0" w:noVBand="1" w:val="04A0"/>
      </w:tblPr>
      <w:tblGrid>
        <w:gridCol w:w="7272"/>
        <w:gridCol w:w="7272"/>
      </w:tblGrid>
      <w:tr>
        <w:tc>
          <w:tcPr>
            <w:tcW w:type="dxa" w:w="7272"/>
            <w:tcW w:w="2304" w:type="dxa"/>
            <w:shd w:fill="D9EAF7"/>
          </w:tcPr>
          <w:p>
            <w:r>
              <w:rPr>
                <w:b/>
                <w:sz w:val="17"/>
              </w:rPr>
              <w:t>Scenario</w:t>
            </w:r>
          </w:p>
        </w:tc>
        <w:tc>
          <w:tcPr>
            <w:tcW w:type="dxa" w:w="7272"/>
            <w:tcW w:w="8208" w:type="dxa"/>
            <w:shd w:fill="D9EAF7"/>
          </w:tcPr>
          <w:p>
            <w:r>
              <w:rPr>
                <w:b/>
                <w:sz w:val="17"/>
              </w:rPr>
              <w:t>Suggested language</w:t>
            </w:r>
          </w:p>
        </w:tc>
      </w:tr>
      <w:tr>
        <w:tc>
          <w:tcPr>
            <w:tcW w:type="dxa" w:w="7272"/>
          </w:tcPr>
          <w:p>
            <w:r>
              <w:rPr>
                <w:sz w:val="17"/>
              </w:rPr>
              <w:t>Prespecification gap</w:t>
            </w:r>
          </w:p>
        </w:tc>
        <w:tc>
          <w:tcPr>
            <w:tcW w:type="dxa" w:w="7272"/>
          </w:tcPr>
          <w:p>
            <w:r>
              <w:rPr>
                <w:sz w:val="17"/>
              </w:rPr>
              <w:t>The analysis appears important but prespecification could not be verified from the provided protocol/SAP/registry materials; please label it exploratory or provide dated documentation.</w:t>
            </w:r>
          </w:p>
        </w:tc>
      </w:tr>
      <w:tr>
        <w:tc>
          <w:tcPr>
            <w:tcW w:type="dxa" w:w="7272"/>
          </w:tcPr>
          <w:p>
            <w:r>
              <w:rPr>
                <w:sz w:val="17"/>
              </w:rPr>
              <w:t>Multiplicity gap</w:t>
            </w:r>
          </w:p>
        </w:tc>
        <w:tc>
          <w:tcPr>
            <w:tcW w:type="dxa" w:w="7272"/>
          </w:tcPr>
          <w:p>
            <w:r>
              <w:rPr>
                <w:sz w:val="17"/>
              </w:rPr>
              <w:t>Because multiple endpoints/timepoints/subgroups were tested without a clear alpha-control strategy, nominal p-values should be interpreted descriptively.</w:t>
            </w:r>
          </w:p>
        </w:tc>
      </w:tr>
      <w:tr>
        <w:tc>
          <w:tcPr>
            <w:tcW w:type="dxa" w:w="7272"/>
          </w:tcPr>
          <w:p>
            <w:r>
              <w:rPr>
                <w:sz w:val="17"/>
              </w:rPr>
              <w:t>Non-significant result</w:t>
            </w:r>
          </w:p>
        </w:tc>
        <w:tc>
          <w:tcPr>
            <w:tcW w:type="dxa" w:w="7272"/>
          </w:tcPr>
          <w:p>
            <w:r>
              <w:rPr>
                <w:sz w:val="17"/>
              </w:rPr>
              <w:t>The study did not establish equivalence or absence of effect; the confidence interval remains compatible with clinically relevant differences.</w:t>
            </w:r>
          </w:p>
        </w:tc>
      </w:tr>
      <w:tr>
        <w:tc>
          <w:tcPr>
            <w:tcW w:type="dxa" w:w="7272"/>
          </w:tcPr>
          <w:p>
            <w:r>
              <w:rPr>
                <w:sz w:val="17"/>
              </w:rPr>
              <w:t>Observational causal language</w:t>
            </w:r>
          </w:p>
        </w:tc>
        <w:tc>
          <w:tcPr>
            <w:tcW w:type="dxa" w:w="7272"/>
          </w:tcPr>
          <w:p>
            <w:r>
              <w:rPr>
                <w:sz w:val="17"/>
              </w:rPr>
              <w:t>The findings show an association after adjustment; residual confounding, measurement error, and selection bias may remain.</w:t>
            </w:r>
          </w:p>
        </w:tc>
      </w:tr>
      <w:tr>
        <w:tc>
          <w:tcPr>
            <w:tcW w:type="dxa" w:w="7272"/>
          </w:tcPr>
          <w:p>
            <w:r>
              <w:rPr>
                <w:sz w:val="17"/>
              </w:rPr>
              <w:t>Robustness</w:t>
            </w:r>
          </w:p>
        </w:tc>
        <w:tc>
          <w:tcPr>
            <w:tcW w:type="dxa" w:w="7272"/>
          </w:tcPr>
          <w:p>
            <w:r>
              <w:rPr>
                <w:sz w:val="17"/>
              </w:rPr>
              <w:t>Sensitivity analyses were generally directionally consistent with the primary result; remaining uncertainty should be acknowledged in the discussion.</w:t>
            </w:r>
          </w:p>
        </w:tc>
      </w:tr>
    </w:tbl>
    <w:p>
      <w:pPr>
        <w:spacing w:after="80" w:line="240" w:lineRule="auto"/>
      </w:pPr>
      <w:r>
        <w:rPr>
          <w:sz w:val="18"/>
        </w:rPr>
        <w:br w:type="page"/>
      </w:r>
    </w:p>
    <w:p>
      <w:pPr>
        <w:pStyle w:val="Heading1"/>
      </w:pPr>
      <w:r>
        <w:t>Cross-cutting modules added for all study types</w:t>
      </w:r>
    </w:p>
    <w:p>
      <w:pPr>
        <w:spacing w:after="80" w:line="240" w:lineRule="auto"/>
      </w:pPr>
      <w:r>
        <w:rPr>
          <w:sz w:val="18"/>
        </w:rPr>
        <w:t>These modules should run for oncology, non-oncology interventional, and observational reviews. They are designed to catch numerical discrepancies, manual transcription errors, stale-output issues, denominator problems, rounding mistakes, and inconsistent statistical formatting.</w:t>
      </w:r>
    </w:p>
    <w:p>
      <w:pPr>
        <w:pStyle w:val="ListBullet"/>
        <w:spacing w:after="40"/>
      </w:pPr>
      <w:r>
        <w:t>Run numerical accuracy checks against the authoritative source output rather than only against the manuscript text.</w:t>
      </w:r>
    </w:p>
    <w:p>
      <w:pPr>
        <w:pStyle w:val="ListBullet"/>
        <w:spacing w:after="40"/>
      </w:pPr>
      <w:r>
        <w:t>Run format checks after numerical issues are resolved, because corrected values may change decimal alignment, wrapping, and page layout.</w:t>
      </w:r>
    </w:p>
    <w:p>
      <w:pPr>
        <w:pStyle w:val="ListBullet"/>
        <w:spacing w:after="40"/>
      </w:pPr>
      <w:r>
        <w:t>Escalate any discrepancy that affects the abstract, primary endpoint, key secondary endpoint, safety conclusion, multiplicity decision, or claim language.</w:t>
      </w:r>
    </w:p>
    <w:p>
      <w:pPr>
        <w:spacing w:after="80" w:line="240" w:lineRule="auto"/>
      </w:pPr>
      <w:r>
        <w:rPr>
          <w:sz w:val="18"/>
        </w:rPr>
        <w:br w:type="page"/>
      </w:r>
    </w:p>
    <w:p>
      <w:pPr>
        <w:pStyle w:val="Heading1"/>
      </w:pPr>
      <w:r>
        <w:t>Checklist C: Numerical Accuracy, Recalculation, and Cross-Document Consistency</w:t>
      </w:r>
    </w:p>
    <w:p>
      <w:pPr>
        <w:spacing w:after="80" w:line="240" w:lineRule="auto"/>
      </w:pPr>
      <w:r>
        <w:rPr>
          <w:sz w:val="18"/>
        </w:rPr>
        <w:t>Use for all statistical deliverables, including manuscripts, CSRs, abstracts, posters, slide decks, TLF packages, registry updates, and supplements. The aim is to verify that every reported number traces to the right source, denominator, method, data cutoff, and display version.</w:t>
      </w:r>
    </w:p>
    <w:tbl>
      <w:tblGrid>
        <w:gridCol w:w="792"/>
        <w:gridCol w:w="12600"/>
        <w:gridCol w:w="1800"/>
      </w:tblGrid>
      <w:tblPr>
        <w:tblStyle w:val="TableGrid"/>
        <w:tblW w:type="auto" w:w="0"/>
        <w:jc w:val="center"/>
        <w:tblLayout w:type="fixed"/>
        <w:tblLook w:firstColumn="1" w:firstRow="1" w:lastColumn="0" w:lastRow="0" w:noHBand="0" w:noVBand="1" w:val="04A0"/>
      </w:tblPr>
      <w:tr>
        <w:trPr>
          <w:tblHeader w:val="true"/>
        </w:trPr>
        <w:tc>
          <w:tcPr>
            <w:tcW w:type="dxa" w:w="792"/>
            <w:shd w:fill="D9EAF7"/>
            <w:vAlign w:val="center"/>
          </w:tcPr>
          <w:p>
            <w:pPr>
              <w:spacing w:after="0"/>
              <w:jc w:val="center"/>
            </w:pPr>
            <w:r>
              <w:rPr>
                <w:b/>
                <w:sz w:val="16"/>
              </w:rPr>
              <w:t>Item #</w:t>
            </w:r>
          </w:p>
        </w:tc>
        <w:tc>
          <w:tcPr>
            <w:tcW w:type="dxa" w:w="12600"/>
            <w:shd w:fill="D9EAF7"/>
            <w:vAlign w:val="center"/>
          </w:tcPr>
          <w:p>
            <w:pPr>
              <w:spacing w:after="0"/>
              <w:jc w:val="center"/>
            </w:pPr>
            <w:r>
              <w:rPr>
                <w:b/>
                <w:sz w:val="16"/>
              </w:rPr>
              <w:t>Checklist item + concise rationale</w:t>
            </w:r>
          </w:p>
        </w:tc>
        <w:tc>
          <w:tcPr>
            <w:tcW w:type="dxa" w:w="1800"/>
            <w:shd w:fill="D9EAF7"/>
            <w:vAlign w:val="center"/>
          </w:tcPr>
          <w:p>
            <w:pPr>
              <w:spacing w:after="0"/>
              <w:jc w:val="center"/>
            </w:pPr>
            <w:r>
              <w:rPr>
                <w:b/>
                <w:sz w:val="16"/>
              </w:rPr>
              <w:t>Checked?</w:t>
              <w:br/>
              <w:t>(Yes / No / N/A)</w:t>
            </w:r>
          </w:p>
        </w:tc>
      </w:tr>
      <w:tr>
        <w:trPr>
          <w:cantSplit/>
        </w:trPr>
        <w:tc>
          <w:tcPr>
            <w:tcW w:type="dxa" w:w="792"/>
            <w:vAlign w:val="top"/>
          </w:tcPr>
          <w:p>
            <w:pPr>
              <w:spacing w:after="0"/>
              <w:jc w:val="center"/>
            </w:pPr>
            <w:r>
              <w:rPr>
                <w:b/>
                <w:sz w:val="16"/>
              </w:rPr>
              <w:t>1</w:t>
            </w:r>
          </w:p>
        </w:tc>
        <w:tc>
          <w:tcPr>
            <w:tcW w:type="dxa" w:w="12600"/>
            <w:vAlign w:val="top"/>
          </w:tcPr>
          <w:p>
            <w:pPr>
              <w:spacing w:after="20" w:line="240" w:lineRule="auto"/>
            </w:pPr>
            <w:r/>
            <w:r>
              <w:rPr>
                <w:b/>
                <w:sz w:val="17"/>
              </w:rPr>
              <w:t>Source-of-truth hierarchy and traceability</w:t>
            </w:r>
          </w:p>
          <w:p>
            <w:pPr>
              <w:spacing w:after="0" w:line="240" w:lineRule="auto"/>
            </w:pPr>
            <w:r>
              <w:rPr>
                <w:b/>
                <w:sz w:val="16"/>
              </w:rPr>
              <w:t xml:space="preserve">Check: </w:t>
            </w:r>
            <w:r>
              <w:rPr>
                <w:sz w:val="15"/>
              </w:rPr>
              <w:t>Define the authoritative source for each number: analysis dataset, listing, TLF, CSR table, manuscript table, figure, appendix, or registry. Record version, run date, data cutoff, population flag, and output ID.</w:t>
            </w:r>
          </w:p>
          <w:p>
            <w:pPr>
              <w:spacing w:after="0" w:line="240" w:lineRule="auto"/>
            </w:pPr>
            <w:r>
              <w:rPr>
                <w:b/>
                <w:sz w:val="16"/>
              </w:rPr>
              <w:t xml:space="preserve">Why: </w:t>
            </w:r>
            <w:r>
              <w:rPr>
                <w:sz w:val="15"/>
              </w:rPr>
              <w:t>A number can be statistically correct but wrong for the current data cut, population, or table version.</w:t>
            </w:r>
          </w:p>
          <w:p>
            <w:pPr>
              <w:spacing w:after="0" w:line="240" w:lineRule="auto"/>
            </w:pPr>
            <w:r>
              <w:rPr>
                <w:b/>
                <w:sz w:val="16"/>
              </w:rPr>
              <w:t xml:space="preserve">Evidence: </w:t>
            </w:r>
            <w:r>
              <w:rPr>
                <w:sz w:val="15"/>
              </w:rPr>
              <w:t>TLF index; program log; data-transfer manifest; data cutoff memo; SAP output shell; reviewer reconciliation notes.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2</w:t>
            </w:r>
          </w:p>
        </w:tc>
        <w:tc>
          <w:tcPr>
            <w:tcW w:type="dxa" w:w="12600"/>
            <w:vAlign w:val="top"/>
          </w:tcPr>
          <w:p>
            <w:pPr>
              <w:spacing w:after="20" w:line="240" w:lineRule="auto"/>
            </w:pPr>
            <w:r/>
            <w:r>
              <w:rPr>
                <w:b/>
                <w:sz w:val="17"/>
              </w:rPr>
              <w:t>Dataset, listing, and TLF reconciliation</w:t>
            </w:r>
          </w:p>
          <w:p>
            <w:pPr>
              <w:spacing w:after="0" w:line="240" w:lineRule="auto"/>
            </w:pPr>
            <w:r>
              <w:rPr>
                <w:b/>
                <w:sz w:val="16"/>
              </w:rPr>
              <w:t xml:space="preserve">Check: </w:t>
            </w:r>
            <w:r>
              <w:rPr>
                <w:sz w:val="15"/>
              </w:rPr>
              <w:t>Reconcile subject counts, treatment groups, analysis flags, visits, events, and denominators from listings to TLFs and from TLFs to manuscript outputs.</w:t>
            </w:r>
          </w:p>
          <w:p>
            <w:pPr>
              <w:spacing w:after="0" w:line="240" w:lineRule="auto"/>
            </w:pPr>
            <w:r>
              <w:rPr>
                <w:b/>
                <w:sz w:val="16"/>
              </w:rPr>
              <w:t xml:space="preserve">Why: </w:t>
            </w:r>
            <w:r>
              <w:rPr>
                <w:sz w:val="15"/>
              </w:rPr>
              <w:t>Many manuscript errors arise from stale tables, incorrect populations, or manual transcription from TLFs.</w:t>
            </w:r>
          </w:p>
          <w:p>
            <w:pPr>
              <w:spacing w:after="0" w:line="240" w:lineRule="auto"/>
            </w:pPr>
            <w:r>
              <w:rPr>
                <w:b/>
                <w:sz w:val="16"/>
              </w:rPr>
              <w:t xml:space="preserve">Evidence: </w:t>
            </w:r>
            <w:r>
              <w:rPr>
                <w:sz w:val="15"/>
              </w:rPr>
              <w:t>Reconciliation worksheet; annotated listings; compare report between TLF values and manuscript values.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3</w:t>
            </w:r>
          </w:p>
        </w:tc>
        <w:tc>
          <w:tcPr>
            <w:tcW w:type="dxa" w:w="12600"/>
            <w:vAlign w:val="top"/>
          </w:tcPr>
          <w:p>
            <w:pPr>
              <w:spacing w:after="20" w:line="240" w:lineRule="auto"/>
            </w:pPr>
            <w:r/>
            <w:r>
              <w:rPr>
                <w:b/>
                <w:sz w:val="17"/>
              </w:rPr>
              <w:t>Disposition and analysis-population counts</w:t>
            </w:r>
          </w:p>
          <w:p>
            <w:pPr>
              <w:spacing w:after="0" w:line="240" w:lineRule="auto"/>
            </w:pPr>
            <w:r>
              <w:rPr>
                <w:b/>
                <w:sz w:val="16"/>
              </w:rPr>
              <w:t xml:space="preserve">Check: </w:t>
            </w:r>
            <w:r>
              <w:rPr>
                <w:sz w:val="15"/>
              </w:rPr>
              <w:t>Check randomized, screened, treated, discontinued, completed, excluded, safety, ITT/FAS, per-protocol, biomarker, and evaluable counts across flow diagrams, tables, and text.</w:t>
            </w:r>
          </w:p>
          <w:p>
            <w:pPr>
              <w:spacing w:after="0" w:line="240" w:lineRule="auto"/>
            </w:pPr>
            <w:r>
              <w:rPr>
                <w:b/>
                <w:sz w:val="16"/>
              </w:rPr>
              <w:t xml:space="preserve">Why: </w:t>
            </w:r>
            <w:r>
              <w:rPr>
                <w:sz w:val="15"/>
              </w:rPr>
              <w:t>Population-count mismatches undermine interpretation and can affect every denominator-dependent result.</w:t>
            </w:r>
          </w:p>
          <w:p>
            <w:pPr>
              <w:spacing w:after="0" w:line="240" w:lineRule="auto"/>
            </w:pPr>
            <w:r>
              <w:rPr>
                <w:b/>
                <w:sz w:val="16"/>
              </w:rPr>
              <w:t xml:space="preserve">Evidence: </w:t>
            </w:r>
            <w:r>
              <w:rPr>
                <w:sz w:val="15"/>
              </w:rPr>
              <w:t>CONSORT/STROBE flow; disposition table; analysis-population derivation listing; population footnotes.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4</w:t>
            </w:r>
          </w:p>
        </w:tc>
        <w:tc>
          <w:tcPr>
            <w:tcW w:type="dxa" w:w="12600"/>
            <w:vAlign w:val="top"/>
          </w:tcPr>
          <w:p>
            <w:pPr>
              <w:spacing w:after="20" w:line="240" w:lineRule="auto"/>
            </w:pPr>
            <w:r/>
            <w:r>
              <w:rPr>
                <w:b/>
                <w:sz w:val="17"/>
              </w:rPr>
              <w:t>Denominators and percentage calculations</w:t>
            </w:r>
          </w:p>
          <w:p>
            <w:pPr>
              <w:spacing w:after="0" w:line="240" w:lineRule="auto"/>
            </w:pPr>
            <w:r>
              <w:rPr>
                <w:b/>
                <w:sz w:val="16"/>
              </w:rPr>
              <w:t xml:space="preserve">Check: </w:t>
            </w:r>
            <w:r>
              <w:rPr>
                <w:sz w:val="15"/>
              </w:rPr>
              <w:t>Recalculate all percentages using the stated denominator, including arm-specific denominators, non-missing denominators, subgroup denominators, safety denominators, and timepoint-specific denominators.</w:t>
            </w:r>
          </w:p>
          <w:p>
            <w:pPr>
              <w:spacing w:after="0" w:line="240" w:lineRule="auto"/>
            </w:pPr>
            <w:r>
              <w:rPr>
                <w:b/>
                <w:sz w:val="16"/>
              </w:rPr>
              <w:t xml:space="preserve">Why: </w:t>
            </w:r>
            <w:r>
              <w:rPr>
                <w:sz w:val="15"/>
              </w:rPr>
              <w:t>Incorrect denominators can materially change apparent response, safety, missingness, and subgroup patterns.</w:t>
            </w:r>
          </w:p>
          <w:p>
            <w:pPr>
              <w:spacing w:after="0" w:line="240" w:lineRule="auto"/>
            </w:pPr>
            <w:r>
              <w:rPr>
                <w:b/>
                <w:sz w:val="16"/>
              </w:rPr>
              <w:t xml:space="preserve">Evidence: </w:t>
            </w:r>
            <w:r>
              <w:rPr>
                <w:sz w:val="15"/>
              </w:rPr>
              <w:t>n/N displays; denominator footnotes; recalculation file; percent-difference flags.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5</w:t>
            </w:r>
          </w:p>
        </w:tc>
        <w:tc>
          <w:tcPr>
            <w:tcW w:type="dxa" w:w="12600"/>
            <w:vAlign w:val="top"/>
          </w:tcPr>
          <w:p>
            <w:pPr>
              <w:spacing w:after="20" w:line="240" w:lineRule="auto"/>
            </w:pPr>
            <w:r/>
            <w:r>
              <w:rPr>
                <w:b/>
                <w:sz w:val="17"/>
              </w:rPr>
              <w:t>Rounding sequence and retained precision</w:t>
            </w:r>
          </w:p>
          <w:p>
            <w:pPr>
              <w:spacing w:after="0" w:line="240" w:lineRule="auto"/>
            </w:pPr>
            <w:r>
              <w:rPr>
                <w:b/>
                <w:sz w:val="16"/>
              </w:rPr>
              <w:t xml:space="preserve">Check: </w:t>
            </w:r>
            <w:r>
              <w:rPr>
                <w:sz w:val="15"/>
              </w:rPr>
              <w:t>Confirm calculations use full precision and are rounded only for display; avoid using rounded intermediate values to derive differences, ratios, CIs, percentages, or p-values.</w:t>
            </w:r>
          </w:p>
          <w:p>
            <w:pPr>
              <w:spacing w:after="0" w:line="240" w:lineRule="auto"/>
            </w:pPr>
            <w:r>
              <w:rPr>
                <w:b/>
                <w:sz w:val="16"/>
              </w:rPr>
              <w:t xml:space="preserve">Why: </w:t>
            </w:r>
            <w:r>
              <w:rPr>
                <w:sz w:val="15"/>
              </w:rPr>
              <w:t>Premature rounding can create small but visible inconsistencies and may flip borderline displays.</w:t>
            </w:r>
          </w:p>
          <w:p>
            <w:pPr>
              <w:spacing w:after="0" w:line="240" w:lineRule="auto"/>
            </w:pPr>
            <w:r>
              <w:rPr>
                <w:b/>
                <w:sz w:val="16"/>
              </w:rPr>
              <w:t xml:space="preserve">Evidence: </w:t>
            </w:r>
            <w:r>
              <w:rPr>
                <w:sz w:val="15"/>
              </w:rPr>
              <w:t>Programming specifications; independent recalculation with raw values; rounding audit showing pre-rounded and displayed values.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6</w:t>
            </w:r>
          </w:p>
        </w:tc>
        <w:tc>
          <w:tcPr>
            <w:tcW w:type="dxa" w:w="12600"/>
            <w:vAlign w:val="top"/>
          </w:tcPr>
          <w:p>
            <w:pPr>
              <w:spacing w:after="20" w:line="240" w:lineRule="auto"/>
            </w:pPr>
            <w:r/>
            <w:r>
              <w:rPr>
                <w:b/>
                <w:sz w:val="17"/>
              </w:rPr>
              <w:t>Descriptive statistics and derived endpoints</w:t>
            </w:r>
          </w:p>
          <w:p>
            <w:pPr>
              <w:spacing w:after="0" w:line="240" w:lineRule="auto"/>
            </w:pPr>
            <w:r>
              <w:rPr>
                <w:b/>
                <w:sz w:val="16"/>
              </w:rPr>
              <w:t xml:space="preserve">Check: </w:t>
            </w:r>
            <w:r>
              <w:rPr>
                <w:sz w:val="15"/>
              </w:rPr>
              <w:t>Recalculate mean, SD, SE, median, quartiles, min/max, geometric mean, CV, change from baseline, percent change, responder status, and composite endpoints.</w:t>
            </w:r>
          </w:p>
          <w:p>
            <w:pPr>
              <w:spacing w:after="0" w:line="240" w:lineRule="auto"/>
            </w:pPr>
            <w:r>
              <w:rPr>
                <w:b/>
                <w:sz w:val="16"/>
              </w:rPr>
              <w:t xml:space="preserve">Why: </w:t>
            </w:r>
            <w:r>
              <w:rPr>
                <w:sz w:val="15"/>
              </w:rPr>
              <w:t>Derived endpoints and summary statistics are frequent sources of off-by-one, missing-value, and transformation errors.</w:t>
            </w:r>
          </w:p>
          <w:p>
            <w:pPr>
              <w:spacing w:after="0" w:line="240" w:lineRule="auto"/>
            </w:pPr>
            <w:r>
              <w:rPr>
                <w:b/>
                <w:sz w:val="16"/>
              </w:rPr>
              <w:t xml:space="preserve">Evidence: </w:t>
            </w:r>
            <w:r>
              <w:rPr>
                <w:sz w:val="15"/>
              </w:rPr>
              <w:t>Analysis dataset derivations; summary-statistic QC output; derivation specs; listing-to-table checks.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7</w:t>
            </w:r>
          </w:p>
        </w:tc>
        <w:tc>
          <w:tcPr>
            <w:tcW w:type="dxa" w:w="12600"/>
            <w:vAlign w:val="top"/>
          </w:tcPr>
          <w:p>
            <w:pPr>
              <w:spacing w:after="20" w:line="240" w:lineRule="auto"/>
            </w:pPr>
            <w:r/>
            <w:r>
              <w:rPr>
                <w:b/>
                <w:sz w:val="17"/>
              </w:rPr>
              <w:t>Model-based estimates, differences, and contrasts</w:t>
            </w:r>
          </w:p>
          <w:p>
            <w:pPr>
              <w:spacing w:after="0" w:line="240" w:lineRule="auto"/>
            </w:pPr>
            <w:r>
              <w:rPr>
                <w:b/>
                <w:sz w:val="16"/>
              </w:rPr>
              <w:t xml:space="preserve">Check: </w:t>
            </w:r>
            <w:r>
              <w:rPr>
                <w:sz w:val="15"/>
              </w:rPr>
              <w:t>Verify LS means, adjusted means, odds ratios, risk ratios, risk differences, hazard ratios, contrasts, covariance assumptions, reference categories, and covariate coding.</w:t>
            </w:r>
          </w:p>
          <w:p>
            <w:pPr>
              <w:spacing w:after="0" w:line="240" w:lineRule="auto"/>
            </w:pPr>
            <w:r>
              <w:rPr>
                <w:b/>
                <w:sz w:val="16"/>
              </w:rPr>
              <w:t xml:space="preserve">Why: </w:t>
            </w:r>
            <w:r>
              <w:rPr>
                <w:sz w:val="15"/>
              </w:rPr>
              <w:t>Model outputs can be transcribed correctly but mislabelled, reversed, or interpreted with the wrong contrast direction.</w:t>
            </w:r>
          </w:p>
          <w:p>
            <w:pPr>
              <w:spacing w:after="0" w:line="240" w:lineRule="auto"/>
            </w:pPr>
            <w:r>
              <w:rPr>
                <w:b/>
                <w:sz w:val="16"/>
              </w:rPr>
              <w:t xml:space="preserve">Evidence: </w:t>
            </w:r>
            <w:r>
              <w:rPr>
                <w:sz w:val="15"/>
              </w:rPr>
              <w:t>Model output; contrast matrix; parameter coding; independent rerun or programmed QC; table shell labels.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8</w:t>
            </w:r>
          </w:p>
        </w:tc>
        <w:tc>
          <w:tcPr>
            <w:tcW w:type="dxa" w:w="12600"/>
            <w:vAlign w:val="top"/>
          </w:tcPr>
          <w:p>
            <w:pPr>
              <w:spacing w:after="20" w:line="240" w:lineRule="auto"/>
            </w:pPr>
            <w:r/>
            <w:r>
              <w:rPr>
                <w:b/>
                <w:sz w:val="17"/>
              </w:rPr>
              <w:t>Confidence intervals, p-values, and test statistics</w:t>
            </w:r>
          </w:p>
          <w:p>
            <w:pPr>
              <w:spacing w:after="0" w:line="240" w:lineRule="auto"/>
            </w:pPr>
            <w:r>
              <w:rPr>
                <w:b/>
                <w:sz w:val="16"/>
              </w:rPr>
              <w:t xml:space="preserve">Check: </w:t>
            </w:r>
            <w:r>
              <w:rPr>
                <w:sz w:val="15"/>
              </w:rPr>
              <w:t>Recalculate or independently verify CIs, p-values, test statistics, degrees of freedom, exact/asymptotic method, sidedness, and alpha level.</w:t>
            </w:r>
          </w:p>
          <w:p>
            <w:pPr>
              <w:spacing w:after="0" w:line="240" w:lineRule="auto"/>
            </w:pPr>
            <w:r>
              <w:rPr>
                <w:b/>
                <w:sz w:val="16"/>
              </w:rPr>
              <w:t xml:space="preserve">Why: </w:t>
            </w:r>
            <w:r>
              <w:rPr>
                <w:sz w:val="15"/>
              </w:rPr>
              <w:t>Inference errors directly affect statistical conclusions and claim language.</w:t>
            </w:r>
          </w:p>
          <w:p>
            <w:pPr>
              <w:spacing w:after="0" w:line="240" w:lineRule="auto"/>
            </w:pPr>
            <w:r>
              <w:rPr>
                <w:b/>
                <w:sz w:val="16"/>
              </w:rPr>
              <w:t xml:space="preserve">Evidence: </w:t>
            </w:r>
            <w:r>
              <w:rPr>
                <w:sz w:val="15"/>
              </w:rPr>
              <w:t>Statistical program output; method annotation; SAP-specified alpha and sidedness; QC log with independently generated values.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9</w:t>
            </w:r>
          </w:p>
        </w:tc>
        <w:tc>
          <w:tcPr>
            <w:tcW w:type="dxa" w:w="12600"/>
            <w:vAlign w:val="top"/>
          </w:tcPr>
          <w:p>
            <w:pPr>
              <w:spacing w:after="20" w:line="240" w:lineRule="auto"/>
            </w:pPr>
            <w:r/>
            <w:r>
              <w:rPr>
                <w:b/>
                <w:sz w:val="17"/>
              </w:rPr>
              <w:t>Multiplicity-adjusted results and testing hierarchy</w:t>
            </w:r>
          </w:p>
          <w:p>
            <w:pPr>
              <w:spacing w:after="0" w:line="240" w:lineRule="auto"/>
            </w:pPr>
            <w:r>
              <w:rPr>
                <w:b/>
                <w:sz w:val="16"/>
              </w:rPr>
              <w:t xml:space="preserve">Check: </w:t>
            </w:r>
            <w:r>
              <w:rPr>
                <w:sz w:val="15"/>
              </w:rPr>
              <w:t>Verify adjusted p-values, gatekeeping sequence, alpha-spending, endpoint family, interim alpha, and pass/fail status for each confirmatory claim.</w:t>
            </w:r>
          </w:p>
          <w:p>
            <w:pPr>
              <w:spacing w:after="0" w:line="240" w:lineRule="auto"/>
            </w:pPr>
            <w:r>
              <w:rPr>
                <w:b/>
                <w:sz w:val="16"/>
              </w:rPr>
              <w:t xml:space="preserve">Why: </w:t>
            </w:r>
            <w:r>
              <w:rPr>
                <w:sz w:val="15"/>
              </w:rPr>
              <w:t>A nominally significant result may not be confirmatory after the planned multiplicity framework is applied.</w:t>
            </w:r>
          </w:p>
          <w:p>
            <w:pPr>
              <w:spacing w:after="0" w:line="240" w:lineRule="auto"/>
            </w:pPr>
            <w:r>
              <w:rPr>
                <w:b/>
                <w:sz w:val="16"/>
              </w:rPr>
              <w:t xml:space="preserve">Evidence: </w:t>
            </w:r>
            <w:r>
              <w:rPr>
                <w:sz w:val="15"/>
              </w:rPr>
              <w:t>Multiplicity table; testing hierarchy; adjusted p-value output; alpha-spending documentation.</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10</w:t>
            </w:r>
          </w:p>
        </w:tc>
        <w:tc>
          <w:tcPr>
            <w:tcW w:type="dxa" w:w="12600"/>
            <w:vAlign w:val="top"/>
          </w:tcPr>
          <w:p>
            <w:pPr>
              <w:spacing w:after="20" w:line="240" w:lineRule="auto"/>
            </w:pPr>
            <w:r/>
            <w:r>
              <w:rPr>
                <w:b/>
                <w:sz w:val="17"/>
              </w:rPr>
              <w:t>Time-to-event outputs</w:t>
            </w:r>
          </w:p>
          <w:p>
            <w:pPr>
              <w:spacing w:after="0" w:line="240" w:lineRule="auto"/>
            </w:pPr>
            <w:r>
              <w:rPr>
                <w:b/>
                <w:sz w:val="16"/>
              </w:rPr>
              <w:t xml:space="preserve">Check: </w:t>
            </w:r>
            <w:r>
              <w:rPr>
                <w:sz w:val="15"/>
              </w:rPr>
              <w:t>Check events, censored counts, median estimates, confidence intervals, numbers at risk, landmark estimates, hazard ratios, censoring dates, and analysis-time units.</w:t>
            </w:r>
          </w:p>
          <w:p>
            <w:pPr>
              <w:spacing w:after="0" w:line="240" w:lineRule="auto"/>
            </w:pPr>
            <w:r>
              <w:rPr>
                <w:b/>
                <w:sz w:val="16"/>
              </w:rPr>
              <w:t xml:space="preserve">Why: </w:t>
            </w:r>
            <w:r>
              <w:rPr>
                <w:sz w:val="15"/>
              </w:rPr>
              <w:t>Time-to-event displays are vulnerable to censoring-rule, unit, and data-cutoff inconsistencies.</w:t>
            </w:r>
          </w:p>
          <w:p>
            <w:pPr>
              <w:spacing w:after="0" w:line="240" w:lineRule="auto"/>
            </w:pPr>
            <w:r>
              <w:rPr>
                <w:b/>
                <w:sz w:val="16"/>
              </w:rPr>
              <w:t xml:space="preserve">Evidence: </w:t>
            </w:r>
            <w:r>
              <w:rPr>
                <w:sz w:val="15"/>
              </w:rPr>
              <w:t>KM output; censoring listings; number-at-risk table; TTE derivation specs; independent KM/Hazard model QC.</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11</w:t>
            </w:r>
          </w:p>
        </w:tc>
        <w:tc>
          <w:tcPr>
            <w:tcW w:type="dxa" w:w="12600"/>
            <w:vAlign w:val="top"/>
          </w:tcPr>
          <w:p>
            <w:pPr>
              <w:spacing w:after="20" w:line="240" w:lineRule="auto"/>
            </w:pPr>
            <w:r/>
            <w:r>
              <w:rPr>
                <w:b/>
                <w:sz w:val="17"/>
              </w:rPr>
              <w:t>Safety event counts and rates</w:t>
            </w:r>
          </w:p>
          <w:p>
            <w:pPr>
              <w:spacing w:after="0" w:line="240" w:lineRule="auto"/>
            </w:pPr>
            <w:r>
              <w:rPr>
                <w:b/>
                <w:sz w:val="16"/>
              </w:rPr>
              <w:t xml:space="preserve">Check: </w:t>
            </w:r>
            <w:r>
              <w:rPr>
                <w:sz w:val="15"/>
              </w:rPr>
              <w:t>Confirm subject counts versus event counts, treatment-emergent definitions, AE coding level, severity/grade, seriousness, relatedness, AESIs, deaths, discontinuations, and exposure-adjusted rates.</w:t>
            </w:r>
          </w:p>
          <w:p>
            <w:pPr>
              <w:spacing w:after="0" w:line="240" w:lineRule="auto"/>
            </w:pPr>
            <w:r>
              <w:rPr>
                <w:b/>
                <w:sz w:val="16"/>
              </w:rPr>
              <w:t xml:space="preserve">Why: </w:t>
            </w:r>
            <w:r>
              <w:rPr>
                <w:sz w:val="15"/>
              </w:rPr>
              <w:t>Safety tables require strict denominator and hierarchy control; mixing subject and event counts can mislead benefit-risk interpretation.</w:t>
            </w:r>
          </w:p>
          <w:p>
            <w:pPr>
              <w:spacing w:after="0" w:line="240" w:lineRule="auto"/>
            </w:pPr>
            <w:r>
              <w:rPr>
                <w:b/>
                <w:sz w:val="16"/>
              </w:rPr>
              <w:t xml:space="preserve">Evidence: </w:t>
            </w:r>
            <w:r>
              <w:rPr>
                <w:sz w:val="15"/>
              </w:rPr>
              <w:t>AE listings; MedDRA dictionary/version; exposure summaries; safety set denominator; event-rate programs.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12</w:t>
            </w:r>
          </w:p>
        </w:tc>
        <w:tc>
          <w:tcPr>
            <w:tcW w:type="dxa" w:w="12600"/>
            <w:vAlign w:val="top"/>
          </w:tcPr>
          <w:p>
            <w:pPr>
              <w:spacing w:after="20" w:line="240" w:lineRule="auto"/>
            </w:pPr>
            <w:r/>
            <w:r>
              <w:rPr>
                <w:b/>
                <w:sz w:val="17"/>
              </w:rPr>
              <w:t>Subgroup and stratum arithmetic</w:t>
            </w:r>
          </w:p>
          <w:p>
            <w:pPr>
              <w:spacing w:after="0" w:line="240" w:lineRule="auto"/>
            </w:pPr>
            <w:r>
              <w:rPr>
                <w:b/>
                <w:sz w:val="16"/>
              </w:rPr>
              <w:t xml:space="preserve">Check: </w:t>
            </w:r>
            <w:r>
              <w:rPr>
                <w:sz w:val="15"/>
              </w:rPr>
              <w:t>Verify subgroup counts, subgroup denominator consistency, missing/unknown category handling, pooled strata, interaction estimates, and whether subgroup totals equal parent populations when expected.</w:t>
            </w:r>
          </w:p>
          <w:p>
            <w:pPr>
              <w:spacing w:after="0" w:line="240" w:lineRule="auto"/>
            </w:pPr>
            <w:r>
              <w:rPr>
                <w:b/>
                <w:sz w:val="16"/>
              </w:rPr>
              <w:t xml:space="preserve">Why: </w:t>
            </w:r>
            <w:r>
              <w:rPr>
                <w:sz w:val="15"/>
              </w:rPr>
              <w:t>Subgroup tables often combine sparse categories and manual labels, increasing mismatch risk.</w:t>
            </w:r>
          </w:p>
          <w:p>
            <w:pPr>
              <w:spacing w:after="0" w:line="240" w:lineRule="auto"/>
            </w:pPr>
            <w:r>
              <w:rPr>
                <w:b/>
                <w:sz w:val="16"/>
              </w:rPr>
              <w:t xml:space="preserve">Evidence: </w:t>
            </w:r>
            <w:r>
              <w:rPr>
                <w:sz w:val="15"/>
              </w:rPr>
              <w:t>Subgroup derivation listing; table footnotes; interaction model output; category recode specifications.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13</w:t>
            </w:r>
          </w:p>
        </w:tc>
        <w:tc>
          <w:tcPr>
            <w:tcW w:type="dxa" w:w="12600"/>
            <w:vAlign w:val="top"/>
          </w:tcPr>
          <w:p>
            <w:pPr>
              <w:spacing w:after="20" w:line="240" w:lineRule="auto"/>
            </w:pPr>
            <w:r/>
            <w:r>
              <w:rPr>
                <w:b/>
                <w:sz w:val="17"/>
              </w:rPr>
              <w:t>Figures and graph-data consistency</w:t>
            </w:r>
          </w:p>
          <w:p>
            <w:pPr>
              <w:spacing w:after="0" w:line="240" w:lineRule="auto"/>
            </w:pPr>
            <w:r>
              <w:rPr>
                <w:b/>
                <w:sz w:val="16"/>
              </w:rPr>
              <w:t xml:space="preserve">Check: </w:t>
            </w:r>
            <w:r>
              <w:rPr>
                <w:sz w:val="15"/>
              </w:rPr>
              <w:t>Confirm plotted values, axis labels, confidence bands, error bars, numbers at risk, legends, and figure footnotes match the source table or graph dataset.</w:t>
            </w:r>
          </w:p>
          <w:p>
            <w:pPr>
              <w:spacing w:after="0" w:line="240" w:lineRule="auto"/>
            </w:pPr>
            <w:r>
              <w:rPr>
                <w:b/>
                <w:sz w:val="16"/>
              </w:rPr>
              <w:t xml:space="preserve">Why: </w:t>
            </w:r>
            <w:r>
              <w:rPr>
                <w:sz w:val="15"/>
              </w:rPr>
              <w:t>Figures are often regenerated or manually edited late, creating mismatches with final TLF values.</w:t>
            </w:r>
          </w:p>
          <w:p>
            <w:pPr>
              <w:spacing w:after="0" w:line="240" w:lineRule="auto"/>
            </w:pPr>
            <w:r>
              <w:rPr>
                <w:b/>
                <w:sz w:val="16"/>
              </w:rPr>
              <w:t xml:space="preserve">Evidence: </w:t>
            </w:r>
            <w:r>
              <w:rPr>
                <w:sz w:val="15"/>
              </w:rPr>
              <w:t>Graph data file; figure program log; source table; image-to-data comparison checklist.</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14</w:t>
            </w:r>
          </w:p>
        </w:tc>
        <w:tc>
          <w:tcPr>
            <w:tcW w:type="dxa" w:w="12600"/>
            <w:vAlign w:val="top"/>
          </w:tcPr>
          <w:p>
            <w:pPr>
              <w:spacing w:after="20" w:line="240" w:lineRule="auto"/>
            </w:pPr>
            <w:r/>
            <w:r>
              <w:rPr>
                <w:b/>
                <w:sz w:val="17"/>
              </w:rPr>
              <w:t>Cross-document numerical consistency</w:t>
            </w:r>
          </w:p>
          <w:p>
            <w:pPr>
              <w:spacing w:after="0" w:line="240" w:lineRule="auto"/>
            </w:pPr>
            <w:r>
              <w:rPr>
                <w:b/>
                <w:sz w:val="16"/>
              </w:rPr>
              <w:t xml:space="preserve">Check: </w:t>
            </w:r>
            <w:r>
              <w:rPr>
                <w:sz w:val="15"/>
              </w:rPr>
              <w:t>Check that values in the abstract, plain-language summary, results text, tables, figures, supplements, CSR, poster, slides, and registry are consistent or explicitly justified when different.</w:t>
            </w:r>
          </w:p>
          <w:p>
            <w:pPr>
              <w:spacing w:after="0" w:line="240" w:lineRule="auto"/>
            </w:pPr>
            <w:r>
              <w:rPr>
                <w:b/>
                <w:sz w:val="16"/>
              </w:rPr>
              <w:t xml:space="preserve">Why: </w:t>
            </w:r>
            <w:r>
              <w:rPr>
                <w:sz w:val="15"/>
              </w:rPr>
              <w:t>Readers notice cross-document discrepancies, and regulators/reviewers may treat them as quality-control failures.</w:t>
            </w:r>
          </w:p>
          <w:p>
            <w:pPr>
              <w:spacing w:after="0" w:line="240" w:lineRule="auto"/>
            </w:pPr>
            <w:r>
              <w:rPr>
                <w:b/>
                <w:sz w:val="16"/>
              </w:rPr>
              <w:t xml:space="preserve">Evidence: </w:t>
            </w:r>
            <w:r>
              <w:rPr>
                <w:sz w:val="15"/>
              </w:rPr>
              <w:t>Cross-document concordance matrix; list of approved intentional differences; final QC signoff.</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15</w:t>
            </w:r>
          </w:p>
        </w:tc>
        <w:tc>
          <w:tcPr>
            <w:tcW w:type="dxa" w:w="12600"/>
            <w:vAlign w:val="top"/>
          </w:tcPr>
          <w:p>
            <w:pPr>
              <w:spacing w:after="20" w:line="240" w:lineRule="auto"/>
            </w:pPr>
            <w:r/>
            <w:r>
              <w:rPr>
                <w:b/>
                <w:sz w:val="17"/>
              </w:rPr>
              <w:t>Units, scale factors, and derived variable conversions</w:t>
            </w:r>
          </w:p>
          <w:p>
            <w:pPr>
              <w:spacing w:after="0" w:line="240" w:lineRule="auto"/>
            </w:pPr>
            <w:r>
              <w:rPr>
                <w:b/>
                <w:sz w:val="16"/>
              </w:rPr>
              <w:t xml:space="preserve">Check: </w:t>
            </w:r>
            <w:r>
              <w:rPr>
                <w:sz w:val="15"/>
              </w:rPr>
              <w:t>Verify unit conversions, scale factors, normalization, body-weight or body-surface-area adjustments, person-time units, lab unit conversions, and logarithmic transformations.</w:t>
            </w:r>
          </w:p>
          <w:p>
            <w:pPr>
              <w:spacing w:after="0" w:line="240" w:lineRule="auto"/>
            </w:pPr>
            <w:r>
              <w:rPr>
                <w:b/>
                <w:sz w:val="16"/>
              </w:rPr>
              <w:t xml:space="preserve">Why: </w:t>
            </w:r>
            <w:r>
              <w:rPr>
                <w:sz w:val="15"/>
              </w:rPr>
              <w:t>Unit errors can create large numerical inaccuracies while preserving plausible-looking values.</w:t>
            </w:r>
          </w:p>
          <w:p>
            <w:pPr>
              <w:spacing w:after="0" w:line="240" w:lineRule="auto"/>
            </w:pPr>
            <w:r>
              <w:rPr>
                <w:b/>
                <w:sz w:val="16"/>
              </w:rPr>
              <w:t xml:space="preserve">Evidence: </w:t>
            </w:r>
            <w:r>
              <w:rPr>
                <w:sz w:val="15"/>
              </w:rPr>
              <w:t>Data dictionary; derivation specs; unit conversion table; lab normal-range metadata; recalculation checks.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16</w:t>
            </w:r>
          </w:p>
        </w:tc>
        <w:tc>
          <w:tcPr>
            <w:tcW w:type="dxa" w:w="12600"/>
            <w:vAlign w:val="top"/>
          </w:tcPr>
          <w:p>
            <w:pPr>
              <w:spacing w:after="20" w:line="240" w:lineRule="auto"/>
            </w:pPr>
            <w:r/>
            <w:r>
              <w:rPr>
                <w:b/>
                <w:sz w:val="17"/>
              </w:rPr>
              <w:t>Extreme values, impossible values, and range checks</w:t>
            </w:r>
          </w:p>
          <w:p>
            <w:pPr>
              <w:spacing w:after="0" w:line="240" w:lineRule="auto"/>
            </w:pPr>
            <w:r>
              <w:rPr>
                <w:b/>
                <w:sz w:val="16"/>
              </w:rPr>
              <w:t xml:space="preserve">Check: </w:t>
            </w:r>
            <w:r>
              <w:rPr>
                <w:sz w:val="15"/>
              </w:rPr>
              <w:t>Flag values outside physiologic, protocol, assay, or data-standard ranges; check negative times, future dates, impossible ages, duplicate IDs, and inconsistent visit windows.</w:t>
            </w:r>
          </w:p>
          <w:p>
            <w:pPr>
              <w:spacing w:after="0" w:line="240" w:lineRule="auto"/>
            </w:pPr>
            <w:r>
              <w:rPr>
                <w:b/>
                <w:sz w:val="16"/>
              </w:rPr>
              <w:t xml:space="preserve">Why: </w:t>
            </w:r>
            <w:r>
              <w:rPr>
                <w:sz w:val="15"/>
              </w:rPr>
              <w:t>Outliers may be true clinical observations, data-entry errors, coding errors, or derivation errors; each requires traceable handling.</w:t>
            </w:r>
          </w:p>
          <w:p>
            <w:pPr>
              <w:spacing w:after="0" w:line="240" w:lineRule="auto"/>
            </w:pPr>
            <w:r>
              <w:rPr>
                <w:b/>
                <w:sz w:val="16"/>
              </w:rPr>
              <w:t xml:space="preserve">Evidence: </w:t>
            </w:r>
            <w:r>
              <w:rPr>
                <w:sz w:val="15"/>
              </w:rPr>
              <w:t>Range-check report; query log; data-cleaning decision log; outlier sensitivity analysis where relevant.</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17</w:t>
            </w:r>
          </w:p>
        </w:tc>
        <w:tc>
          <w:tcPr>
            <w:tcW w:type="dxa" w:w="12600"/>
            <w:vAlign w:val="top"/>
          </w:tcPr>
          <w:p>
            <w:pPr>
              <w:spacing w:after="20" w:line="240" w:lineRule="auto"/>
            </w:pPr>
            <w:r/>
            <w:r>
              <w:rPr>
                <w:b/>
                <w:sz w:val="17"/>
              </w:rPr>
              <w:t>Manual edits and transcription risk</w:t>
            </w:r>
          </w:p>
          <w:p>
            <w:pPr>
              <w:spacing w:after="0" w:line="240" w:lineRule="auto"/>
            </w:pPr>
            <w:r>
              <w:rPr>
                <w:b/>
                <w:sz w:val="16"/>
              </w:rPr>
              <w:t xml:space="preserve">Check: </w:t>
            </w:r>
            <w:r>
              <w:rPr>
                <w:sz w:val="15"/>
              </w:rPr>
              <w:t>Identify values entered manually in Word, PowerPoint, Excel, figure labels, footnotes, and captions; compare to machine-generated source outputs.</w:t>
            </w:r>
          </w:p>
          <w:p>
            <w:pPr>
              <w:spacing w:after="0" w:line="240" w:lineRule="auto"/>
            </w:pPr>
            <w:r>
              <w:rPr>
                <w:b/>
                <w:sz w:val="16"/>
              </w:rPr>
              <w:t xml:space="preserve">Why: </w:t>
            </w:r>
            <w:r>
              <w:rPr>
                <w:sz w:val="15"/>
              </w:rPr>
              <w:t>Manual editing is a common pathway for otherwise controlled statistical outputs to become inaccurate.</w:t>
            </w:r>
          </w:p>
          <w:p>
            <w:pPr>
              <w:spacing w:after="0" w:line="240" w:lineRule="auto"/>
            </w:pPr>
            <w:r>
              <w:rPr>
                <w:b/>
                <w:sz w:val="16"/>
              </w:rPr>
              <w:t xml:space="preserve">Evidence: </w:t>
            </w:r>
            <w:r>
              <w:rPr>
                <w:sz w:val="15"/>
              </w:rPr>
              <w:t>Tracked-change review; redline comparison; source-output annotations; final manuscript-to-TLF diff.</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18</w:t>
            </w:r>
          </w:p>
        </w:tc>
        <w:tc>
          <w:tcPr>
            <w:tcW w:type="dxa" w:w="12600"/>
            <w:vAlign w:val="top"/>
          </w:tcPr>
          <w:p>
            <w:pPr>
              <w:spacing w:after="20" w:line="240" w:lineRule="auto"/>
            </w:pPr>
            <w:r/>
            <w:r>
              <w:rPr>
                <w:b/>
                <w:sz w:val="17"/>
              </w:rPr>
              <w:t>Audit trail and issue resolution</w:t>
            </w:r>
          </w:p>
          <w:p>
            <w:pPr>
              <w:spacing w:after="0" w:line="240" w:lineRule="auto"/>
            </w:pPr>
            <w:r>
              <w:rPr>
                <w:b/>
                <w:sz w:val="16"/>
              </w:rPr>
              <w:t xml:space="preserve">Check: </w:t>
            </w:r>
            <w:r>
              <w:rPr>
                <w:sz w:val="15"/>
              </w:rPr>
              <w:t>For every discrepancy, record source value, displayed value, expected value, root cause, owner, correction, affected outputs, and final verification.</w:t>
            </w:r>
          </w:p>
          <w:p>
            <w:pPr>
              <w:spacing w:after="0" w:line="240" w:lineRule="auto"/>
            </w:pPr>
            <w:r>
              <w:rPr>
                <w:b/>
                <w:sz w:val="16"/>
              </w:rPr>
              <w:t xml:space="preserve">Why: </w:t>
            </w:r>
            <w:r>
              <w:rPr>
                <w:sz w:val="15"/>
              </w:rPr>
              <w:t>A controlled discrepancy log prevents unresolved or repeated errors across related deliverables.</w:t>
            </w:r>
          </w:p>
          <w:p>
            <w:pPr>
              <w:spacing w:after="0" w:line="240" w:lineRule="auto"/>
            </w:pPr>
            <w:r>
              <w:rPr>
                <w:b/>
                <w:sz w:val="16"/>
              </w:rPr>
              <w:t xml:space="preserve">Evidence: </w:t>
            </w:r>
            <w:r>
              <w:rPr>
                <w:sz w:val="15"/>
              </w:rPr>
              <w:t>Issue log; QC tracker; rerun evidence; approval/signoff record; updated output package.</w:t>
            </w:r>
          </w:p>
        </w:tc>
        <w:tc>
          <w:tcPr>
            <w:tcW w:type="dxa" w:w="1800"/>
            <w:vAlign w:val="top"/>
          </w:tcPr>
          <w:p>
            <w:pPr>
              <w:spacing w:after="0"/>
              <w:jc w:val="left"/>
            </w:pPr>
            <w:r>
              <w:rPr>
                <w:sz w:val="16"/>
              </w:rPr>
              <w:t>☐ Yes</w:t>
              <w:br/>
              <w:t>☐ No</w:t>
              <w:br/>
              <w:t>☐ N/A</w:t>
            </w:r>
          </w:p>
        </w:tc>
      </w:tr>
    </w:tbl>
    <w:p>
      <w:pPr>
        <w:spacing w:after="80" w:line="240" w:lineRule="auto"/>
      </w:pPr>
    </w:p>
    <w:p>
      <w:pPr>
        <w:spacing w:after="80" w:line="240" w:lineRule="auto"/>
      </w:pPr>
      <w:r>
        <w:rPr>
          <w:sz w:val="18"/>
        </w:rPr>
        <w:br w:type="page"/>
      </w:r>
    </w:p>
    <w:p>
      <w:pPr>
        <w:pStyle w:val="Heading1"/>
      </w:pPr>
      <w:r>
        <w:t>Checklist D: Statistical Format, Precision, and Scientific-Number Style</w:t>
      </w:r>
    </w:p>
    <w:p>
      <w:pPr>
        <w:spacing w:after="80" w:line="240" w:lineRule="auto"/>
      </w:pPr>
      <w:r>
        <w:rPr>
          <w:sz w:val="18"/>
        </w:rPr>
        <w:t>Use after or alongside numerical QC to ensure values are presented consistently. This includes decimal points, significant figures, scientific notation, p-values, confidence intervals, units, table/figure labels, footnotes, and final rendered layout.</w:t>
      </w:r>
    </w:p>
    <w:tbl>
      <w:tblGrid>
        <w:gridCol w:w="792"/>
        <w:gridCol w:w="12600"/>
        <w:gridCol w:w="1800"/>
      </w:tblGrid>
      <w:tblPr>
        <w:tblStyle w:val="TableGrid"/>
        <w:tblW w:type="auto" w:w="0"/>
        <w:jc w:val="center"/>
        <w:tblLayout w:type="fixed"/>
        <w:tblLook w:firstColumn="1" w:firstRow="1" w:lastColumn="0" w:lastRow="0" w:noHBand="0" w:noVBand="1" w:val="04A0"/>
      </w:tblPr>
      <w:tr>
        <w:trPr>
          <w:tblHeader w:val="true"/>
        </w:trPr>
        <w:tc>
          <w:tcPr>
            <w:tcW w:type="dxa" w:w="792"/>
            <w:shd w:fill="E2F0D9"/>
            <w:vAlign w:val="center"/>
          </w:tcPr>
          <w:p>
            <w:pPr>
              <w:spacing w:after="0"/>
              <w:jc w:val="center"/>
            </w:pPr>
            <w:r>
              <w:rPr>
                <w:b/>
                <w:sz w:val="16"/>
              </w:rPr>
              <w:t>Item #</w:t>
            </w:r>
          </w:p>
        </w:tc>
        <w:tc>
          <w:tcPr>
            <w:tcW w:type="dxa" w:w="12600"/>
            <w:shd w:fill="E2F0D9"/>
            <w:vAlign w:val="center"/>
          </w:tcPr>
          <w:p>
            <w:pPr>
              <w:spacing w:after="0"/>
              <w:jc w:val="center"/>
            </w:pPr>
            <w:r>
              <w:rPr>
                <w:b/>
                <w:sz w:val="16"/>
              </w:rPr>
              <w:t>Checklist item + concise rationale</w:t>
            </w:r>
          </w:p>
        </w:tc>
        <w:tc>
          <w:tcPr>
            <w:tcW w:type="dxa" w:w="1800"/>
            <w:shd w:fill="E2F0D9"/>
            <w:vAlign w:val="center"/>
          </w:tcPr>
          <w:p>
            <w:pPr>
              <w:spacing w:after="0"/>
              <w:jc w:val="center"/>
            </w:pPr>
            <w:r>
              <w:rPr>
                <w:b/>
                <w:sz w:val="16"/>
              </w:rPr>
              <w:t>Checked?</w:t>
              <w:br/>
              <w:t>(Yes / No / N/A)</w:t>
            </w:r>
          </w:p>
        </w:tc>
      </w:tr>
      <w:tr>
        <w:trPr>
          <w:cantSplit/>
        </w:trPr>
        <w:tc>
          <w:tcPr>
            <w:tcW w:type="dxa" w:w="792"/>
            <w:vAlign w:val="top"/>
          </w:tcPr>
          <w:p>
            <w:pPr>
              <w:spacing w:after="0"/>
              <w:jc w:val="center"/>
            </w:pPr>
            <w:r>
              <w:rPr>
                <w:b/>
                <w:sz w:val="16"/>
              </w:rPr>
              <w:t>1</w:t>
            </w:r>
          </w:p>
        </w:tc>
        <w:tc>
          <w:tcPr>
            <w:tcW w:type="dxa" w:w="12600"/>
            <w:vAlign w:val="top"/>
          </w:tcPr>
          <w:p>
            <w:pPr>
              <w:spacing w:after="20" w:line="240" w:lineRule="auto"/>
            </w:pPr>
            <w:r/>
            <w:r>
              <w:rPr>
                <w:b/>
                <w:sz w:val="17"/>
              </w:rPr>
              <w:t>Style guide, table shell, and output template adherence</w:t>
            </w:r>
          </w:p>
          <w:p>
            <w:pPr>
              <w:spacing w:after="0" w:line="240" w:lineRule="auto"/>
            </w:pPr>
            <w:r>
              <w:rPr>
                <w:b/>
                <w:sz w:val="16"/>
              </w:rPr>
              <w:t xml:space="preserve">Check: </w:t>
            </w:r>
            <w:r>
              <w:rPr>
                <w:sz w:val="15"/>
              </w:rPr>
              <w:t>Confirm every table, listing, figure, and manuscript display follows the sponsor, journal, CSR, or project style guide and the approved shell.</w:t>
            </w:r>
          </w:p>
          <w:p>
            <w:pPr>
              <w:spacing w:after="0" w:line="240" w:lineRule="auto"/>
            </w:pPr>
            <w:r>
              <w:rPr>
                <w:b/>
                <w:sz w:val="16"/>
              </w:rPr>
              <w:t xml:space="preserve">Why: </w:t>
            </w:r>
            <w:r>
              <w:rPr>
                <w:sz w:val="15"/>
              </w:rPr>
              <w:t>Format drift creates avoidable review findings and can mask numerical inconsistencies.</w:t>
            </w:r>
          </w:p>
          <w:p>
            <w:pPr>
              <w:spacing w:after="0" w:line="240" w:lineRule="auto"/>
            </w:pPr>
            <w:r>
              <w:rPr>
                <w:b/>
                <w:sz w:val="16"/>
              </w:rPr>
              <w:t xml:space="preserve">Evidence: </w:t>
            </w:r>
            <w:r>
              <w:rPr>
                <w:sz w:val="15"/>
              </w:rPr>
              <w:t>Approved shells; style guide; TLF index; shell-to-output comparison notes.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2</w:t>
            </w:r>
          </w:p>
        </w:tc>
        <w:tc>
          <w:tcPr>
            <w:tcW w:type="dxa" w:w="12600"/>
            <w:vAlign w:val="top"/>
          </w:tcPr>
          <w:p>
            <w:pPr>
              <w:spacing w:after="20" w:line="240" w:lineRule="auto"/>
            </w:pPr>
            <w:r/>
            <w:r>
              <w:rPr>
                <w:b/>
                <w:sz w:val="17"/>
              </w:rPr>
              <w:t>Decimal-place rules by statistic type</w:t>
            </w:r>
          </w:p>
          <w:p>
            <w:pPr>
              <w:spacing w:after="0" w:line="240" w:lineRule="auto"/>
            </w:pPr>
            <w:r>
              <w:rPr>
                <w:b/>
                <w:sz w:val="16"/>
              </w:rPr>
              <w:t xml:space="preserve">Check: </w:t>
            </w:r>
            <w:r>
              <w:rPr>
                <w:sz w:val="15"/>
              </w:rPr>
              <w:t>Apply predefined decimal places for counts, percentages, means, SDs, medians, quartiles, CIs, rates, model estimates, p-values, lab values, and exposure summaries.</w:t>
            </w:r>
          </w:p>
          <w:p>
            <w:pPr>
              <w:spacing w:after="0" w:line="240" w:lineRule="auto"/>
            </w:pPr>
            <w:r>
              <w:rPr>
                <w:b/>
                <w:sz w:val="16"/>
              </w:rPr>
              <w:t xml:space="preserve">Why: </w:t>
            </w:r>
            <w:r>
              <w:rPr>
                <w:sz w:val="15"/>
              </w:rPr>
              <w:t>Consistent precision supports readability and avoids implying false accuracy.</w:t>
            </w:r>
          </w:p>
          <w:p>
            <w:pPr>
              <w:spacing w:after="0" w:line="240" w:lineRule="auto"/>
            </w:pPr>
            <w:r>
              <w:rPr>
                <w:b/>
                <w:sz w:val="16"/>
              </w:rPr>
              <w:t xml:space="preserve">Evidence: </w:t>
            </w:r>
            <w:r>
              <w:rPr>
                <w:sz w:val="15"/>
              </w:rPr>
              <w:t>Precision rule table; table shells; output-format macros; decimal-place audit report.</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3</w:t>
            </w:r>
          </w:p>
        </w:tc>
        <w:tc>
          <w:tcPr>
            <w:tcW w:type="dxa" w:w="12600"/>
            <w:vAlign w:val="top"/>
          </w:tcPr>
          <w:p>
            <w:pPr>
              <w:spacing w:after="20" w:line="240" w:lineRule="auto"/>
            </w:pPr>
            <w:r/>
            <w:r>
              <w:rPr>
                <w:b/>
                <w:sz w:val="17"/>
              </w:rPr>
              <w:t>Significant figures for scientific and clinical measurements</w:t>
            </w:r>
          </w:p>
          <w:p>
            <w:pPr>
              <w:spacing w:after="0" w:line="240" w:lineRule="auto"/>
            </w:pPr>
            <w:r>
              <w:rPr>
                <w:b/>
                <w:sz w:val="16"/>
              </w:rPr>
              <w:t xml:space="preserve">Check: </w:t>
            </w:r>
            <w:r>
              <w:rPr>
                <w:sz w:val="15"/>
              </w:rPr>
              <w:t>Use a consistent significant-figure rule for very small or very large values, assay results, biomarkers, concentrations, and rates.</w:t>
            </w:r>
          </w:p>
          <w:p>
            <w:pPr>
              <w:spacing w:after="0" w:line="240" w:lineRule="auto"/>
            </w:pPr>
            <w:r>
              <w:rPr>
                <w:b/>
                <w:sz w:val="16"/>
              </w:rPr>
              <w:t xml:space="preserve">Why: </w:t>
            </w:r>
            <w:r>
              <w:rPr>
                <w:sz w:val="15"/>
              </w:rPr>
              <w:t>Scientific values can become misleading when overly rounded, overly precise, or mixed across displays.</w:t>
            </w:r>
          </w:p>
          <w:p>
            <w:pPr>
              <w:spacing w:after="0" w:line="240" w:lineRule="auto"/>
            </w:pPr>
            <w:r>
              <w:rPr>
                <w:b/>
                <w:sz w:val="16"/>
              </w:rPr>
              <w:t xml:space="preserve">Evidence: </w:t>
            </w:r>
            <w:r>
              <w:rPr>
                <w:sz w:val="15"/>
              </w:rPr>
              <w:t>Scientific-number style rule; assay precision documentation; biomarker table shell; reviewer spot checks.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4</w:t>
            </w:r>
          </w:p>
        </w:tc>
        <w:tc>
          <w:tcPr>
            <w:tcW w:type="dxa" w:w="12600"/>
            <w:vAlign w:val="top"/>
          </w:tcPr>
          <w:p>
            <w:pPr>
              <w:spacing w:after="20" w:line="240" w:lineRule="auto"/>
            </w:pPr>
            <w:r/>
            <w:r>
              <w:rPr>
                <w:b/>
                <w:sz w:val="17"/>
              </w:rPr>
              <w:t>Scientific notation consistency</w:t>
            </w:r>
          </w:p>
          <w:p>
            <w:pPr>
              <w:spacing w:after="0" w:line="240" w:lineRule="auto"/>
            </w:pPr>
            <w:r>
              <w:rPr>
                <w:b/>
                <w:sz w:val="16"/>
              </w:rPr>
              <w:t xml:space="preserve">Check: </w:t>
            </w:r>
            <w:r>
              <w:rPr>
                <w:sz w:val="15"/>
              </w:rPr>
              <w:t>Choose one convention, such as 1.23 x 10^6 or 1.23E6, and apply it consistently across tables, figures, text, axes, and supplements; define exponent signs and spacing.</w:t>
            </w:r>
          </w:p>
          <w:p>
            <w:pPr>
              <w:spacing w:after="0" w:line="240" w:lineRule="auto"/>
            </w:pPr>
            <w:r>
              <w:rPr>
                <w:b/>
                <w:sz w:val="16"/>
              </w:rPr>
              <w:t xml:space="preserve">Why: </w:t>
            </w:r>
            <w:r>
              <w:rPr>
                <w:sz w:val="15"/>
              </w:rPr>
              <w:t>Mixed notation makes outputs look unpolished and can confuse readers about scale.</w:t>
            </w:r>
          </w:p>
          <w:p>
            <w:pPr>
              <w:spacing w:after="0" w:line="240" w:lineRule="auto"/>
            </w:pPr>
            <w:r>
              <w:rPr>
                <w:b/>
                <w:sz w:val="16"/>
              </w:rPr>
              <w:t xml:space="preserve">Evidence: </w:t>
            </w:r>
            <w:r>
              <w:rPr>
                <w:sz w:val="15"/>
              </w:rPr>
              <w:t>Style guide; table shell; manuscript search for x 10, E notation, superscript exponents, and mixed forms.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5</w:t>
            </w:r>
          </w:p>
        </w:tc>
        <w:tc>
          <w:tcPr>
            <w:tcW w:type="dxa" w:w="12600"/>
            <w:vAlign w:val="top"/>
          </w:tcPr>
          <w:p>
            <w:pPr>
              <w:spacing w:after="20" w:line="240" w:lineRule="auto"/>
            </w:pPr>
            <w:r/>
            <w:r>
              <w:rPr>
                <w:b/>
                <w:sz w:val="17"/>
              </w:rPr>
              <w:t>Leading zeros, trailing zeros, and fixed-width display</w:t>
            </w:r>
          </w:p>
          <w:p>
            <w:pPr>
              <w:spacing w:after="0" w:line="240" w:lineRule="auto"/>
            </w:pPr>
            <w:r>
              <w:rPr>
                <w:b/>
                <w:sz w:val="16"/>
              </w:rPr>
              <w:t xml:space="preserve">Check: </w:t>
            </w:r>
            <w:r>
              <w:rPr>
                <w:sz w:val="15"/>
              </w:rPr>
              <w:t>Use a leading zero before decimals where required, such as 0.25 rather than .25; maintain trailing zeros within a column when fixed precision is specified, such as 12.0 and 9.5.</w:t>
            </w:r>
          </w:p>
          <w:p>
            <w:pPr>
              <w:spacing w:after="0" w:line="240" w:lineRule="auto"/>
            </w:pPr>
            <w:r>
              <w:rPr>
                <w:b/>
                <w:sz w:val="16"/>
              </w:rPr>
              <w:t xml:space="preserve">Why: </w:t>
            </w:r>
            <w:r>
              <w:rPr>
                <w:sz w:val="15"/>
              </w:rPr>
              <w:t>Inconsistent zero handling is a visible sign of weak QC and can reduce readability.</w:t>
            </w:r>
          </w:p>
          <w:p>
            <w:pPr>
              <w:spacing w:after="0" w:line="240" w:lineRule="auto"/>
            </w:pPr>
            <w:r>
              <w:rPr>
                <w:b/>
                <w:sz w:val="16"/>
              </w:rPr>
              <w:t xml:space="preserve">Evidence: </w:t>
            </w:r>
            <w:r>
              <w:rPr>
                <w:sz w:val="15"/>
              </w:rPr>
              <w:t>Format macro; table output; manual spot check of values between -1 and 1 and fixed-precision columns.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6</w:t>
            </w:r>
          </w:p>
        </w:tc>
        <w:tc>
          <w:tcPr>
            <w:tcW w:type="dxa" w:w="12600"/>
            <w:vAlign w:val="top"/>
          </w:tcPr>
          <w:p>
            <w:pPr>
              <w:spacing w:after="20" w:line="240" w:lineRule="auto"/>
            </w:pPr>
            <w:r/>
            <w:r>
              <w:rPr>
                <w:b/>
                <w:sz w:val="17"/>
              </w:rPr>
              <w:t>P-value display conventions</w:t>
            </w:r>
          </w:p>
          <w:p>
            <w:pPr>
              <w:spacing w:after="0" w:line="240" w:lineRule="auto"/>
            </w:pPr>
            <w:r>
              <w:rPr>
                <w:b/>
                <w:sz w:val="16"/>
              </w:rPr>
              <w:t xml:space="preserve">Check: </w:t>
            </w:r>
            <w:r>
              <w:rPr>
                <w:sz w:val="15"/>
              </w:rPr>
              <w:t>Use one p-value convention consistently, such as p &lt; 0.001 for very small values; avoid p = 0.000; confirm spacing, capitalization, and decimal places.</w:t>
            </w:r>
          </w:p>
          <w:p>
            <w:pPr>
              <w:spacing w:after="0" w:line="240" w:lineRule="auto"/>
            </w:pPr>
            <w:r>
              <w:rPr>
                <w:b/>
                <w:sz w:val="16"/>
              </w:rPr>
              <w:t xml:space="preserve">Why: </w:t>
            </w:r>
            <w:r>
              <w:rPr>
                <w:sz w:val="15"/>
              </w:rPr>
              <w:t>Incorrect p-value formatting is common and may misrepresent statistical evidence.</w:t>
            </w:r>
          </w:p>
          <w:p>
            <w:pPr>
              <w:spacing w:after="0" w:line="240" w:lineRule="auto"/>
            </w:pPr>
            <w:r>
              <w:rPr>
                <w:b/>
                <w:sz w:val="16"/>
              </w:rPr>
              <w:t xml:space="preserve">Evidence: </w:t>
            </w:r>
            <w:r>
              <w:rPr>
                <w:sz w:val="15"/>
              </w:rPr>
              <w:t>SAP/journal style; p-value list; output macro; manuscript text search for p=0.000, P values, and inconsistent symbols.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7</w:t>
            </w:r>
          </w:p>
        </w:tc>
        <w:tc>
          <w:tcPr>
            <w:tcW w:type="dxa" w:w="12600"/>
            <w:vAlign w:val="top"/>
          </w:tcPr>
          <w:p>
            <w:pPr>
              <w:spacing w:after="20" w:line="240" w:lineRule="auto"/>
            </w:pPr>
            <w:r/>
            <w:r>
              <w:rPr>
                <w:b/>
                <w:sz w:val="17"/>
              </w:rPr>
              <w:t>Confidence-interval and estimate formatting</w:t>
            </w:r>
          </w:p>
          <w:p>
            <w:pPr>
              <w:spacing w:after="0" w:line="240" w:lineRule="auto"/>
            </w:pPr>
            <w:r>
              <w:rPr>
                <w:b/>
                <w:sz w:val="16"/>
              </w:rPr>
              <w:t xml:space="preserve">Check: </w:t>
            </w:r>
            <w:r>
              <w:rPr>
                <w:sz w:val="15"/>
              </w:rPr>
              <w:t>Use consistent formats for estimate (95% CI lower, upper), estimate [95% CI], or estimate (95% CI lower to upper); do not mix delimiters, brackets, or CI labels.</w:t>
            </w:r>
          </w:p>
          <w:p>
            <w:pPr>
              <w:spacing w:after="0" w:line="240" w:lineRule="auto"/>
            </w:pPr>
            <w:r>
              <w:rPr>
                <w:b/>
                <w:sz w:val="16"/>
              </w:rPr>
              <w:t xml:space="preserve">Why: </w:t>
            </w:r>
            <w:r>
              <w:rPr>
                <w:sz w:val="15"/>
              </w:rPr>
              <w:t>Consistent CI formatting improves interpretability and reduces copying errors.</w:t>
            </w:r>
          </w:p>
          <w:p>
            <w:pPr>
              <w:spacing w:after="0" w:line="240" w:lineRule="auto"/>
            </w:pPr>
            <w:r>
              <w:rPr>
                <w:b/>
                <w:sz w:val="16"/>
              </w:rPr>
              <w:t xml:space="preserve">Evidence: </w:t>
            </w:r>
            <w:r>
              <w:rPr>
                <w:sz w:val="15"/>
              </w:rPr>
              <w:t>Table shells; manuscript search; figure labels; output-format comparison.</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8</w:t>
            </w:r>
          </w:p>
        </w:tc>
        <w:tc>
          <w:tcPr>
            <w:tcW w:type="dxa" w:w="12600"/>
            <w:vAlign w:val="top"/>
          </w:tcPr>
          <w:p>
            <w:pPr>
              <w:spacing w:after="20" w:line="240" w:lineRule="auto"/>
            </w:pPr>
            <w:r/>
            <w:r>
              <w:rPr>
                <w:b/>
                <w:sz w:val="17"/>
              </w:rPr>
              <w:t>Percent, rate, and ratio display</w:t>
            </w:r>
          </w:p>
          <w:p>
            <w:pPr>
              <w:spacing w:after="0" w:line="240" w:lineRule="auto"/>
            </w:pPr>
            <w:r>
              <w:rPr>
                <w:b/>
                <w:sz w:val="16"/>
              </w:rPr>
              <w:t xml:space="preserve">Check: </w:t>
            </w:r>
            <w:r>
              <w:rPr>
                <w:sz w:val="15"/>
              </w:rPr>
              <w:t>Use a consistent n (%) or n/N (%) format, clearly specify denominators, align percent decimal places, and label rates per unit time or population.</w:t>
            </w:r>
          </w:p>
          <w:p>
            <w:pPr>
              <w:spacing w:after="0" w:line="240" w:lineRule="auto"/>
            </w:pPr>
            <w:r>
              <w:rPr>
                <w:b/>
                <w:sz w:val="16"/>
              </w:rPr>
              <w:t xml:space="preserve">Why: </w:t>
            </w:r>
            <w:r>
              <w:rPr>
                <w:sz w:val="15"/>
              </w:rPr>
              <w:t>Percentages, rates, and ratios are often misread when denominators or units are not explicit.</w:t>
            </w:r>
          </w:p>
          <w:p>
            <w:pPr>
              <w:spacing w:after="0" w:line="240" w:lineRule="auto"/>
            </w:pPr>
            <w:r>
              <w:rPr>
                <w:b/>
                <w:sz w:val="16"/>
              </w:rPr>
              <w:t xml:space="preserve">Evidence: </w:t>
            </w:r>
            <w:r>
              <w:rPr>
                <w:sz w:val="15"/>
              </w:rPr>
              <w:t>Denominator footnotes; rate unit definitions; table header review; recalculation checks.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9</w:t>
            </w:r>
          </w:p>
        </w:tc>
        <w:tc>
          <w:tcPr>
            <w:tcW w:type="dxa" w:w="12600"/>
            <w:vAlign w:val="top"/>
          </w:tcPr>
          <w:p>
            <w:pPr>
              <w:spacing w:after="20" w:line="240" w:lineRule="auto"/>
            </w:pPr>
            <w:r/>
            <w:r>
              <w:rPr>
                <w:b/>
                <w:sz w:val="17"/>
              </w:rPr>
              <w:t>Zeros, missing values, not estimable values, and suppressed cells</w:t>
            </w:r>
          </w:p>
          <w:p>
            <w:pPr>
              <w:spacing w:after="0" w:line="240" w:lineRule="auto"/>
            </w:pPr>
            <w:r>
              <w:rPr>
                <w:b/>
                <w:sz w:val="16"/>
              </w:rPr>
              <w:t xml:space="preserve">Check: </w:t>
            </w:r>
            <w:r>
              <w:rPr>
                <w:sz w:val="15"/>
              </w:rPr>
              <w:t>Define and consistently use 0, 0.0, NA, N/A, ND, NE, not calculated, suppressed, below limit of quantification, and blank cells.</w:t>
            </w:r>
          </w:p>
          <w:p>
            <w:pPr>
              <w:spacing w:after="0" w:line="240" w:lineRule="auto"/>
            </w:pPr>
            <w:r>
              <w:rPr>
                <w:b/>
                <w:sz w:val="16"/>
              </w:rPr>
              <w:t xml:space="preserve">Why: </w:t>
            </w:r>
            <w:r>
              <w:rPr>
                <w:sz w:val="15"/>
              </w:rPr>
              <w:t>Blank or inconsistent missing-value displays can be mistaken for true zero or unreported results.</w:t>
            </w:r>
          </w:p>
          <w:p>
            <w:pPr>
              <w:spacing w:after="0" w:line="240" w:lineRule="auto"/>
            </w:pPr>
            <w:r>
              <w:rPr>
                <w:b/>
                <w:sz w:val="16"/>
              </w:rPr>
              <w:t xml:space="preserve">Evidence: </w:t>
            </w:r>
            <w:r>
              <w:rPr>
                <w:sz w:val="15"/>
              </w:rPr>
              <w:t>Abbreviation list; shell footnotes; output listing of missing/suppressed cells.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10</w:t>
            </w:r>
          </w:p>
        </w:tc>
        <w:tc>
          <w:tcPr>
            <w:tcW w:type="dxa" w:w="12600"/>
            <w:vAlign w:val="top"/>
          </w:tcPr>
          <w:p>
            <w:pPr>
              <w:spacing w:after="20" w:line="240" w:lineRule="auto"/>
            </w:pPr>
            <w:r/>
            <w:r>
              <w:rPr>
                <w:b/>
                <w:sz w:val="17"/>
              </w:rPr>
              <w:t>Units, symbols, and scale labels</w:t>
            </w:r>
          </w:p>
          <w:p>
            <w:pPr>
              <w:spacing w:after="0" w:line="240" w:lineRule="auto"/>
            </w:pPr>
            <w:r>
              <w:rPr>
                <w:b/>
                <w:sz w:val="16"/>
              </w:rPr>
              <w:t xml:space="preserve">Check: </w:t>
            </w:r>
            <w:r>
              <w:rPr>
                <w:sz w:val="15"/>
              </w:rPr>
              <w:t>Use consistent units and symbols in headers, footnotes, captions, axes, and text, including mg, mg/L, U/L, cells/mm3, per 100 person-years, weeks, months, and days.</w:t>
            </w:r>
          </w:p>
          <w:p>
            <w:pPr>
              <w:spacing w:after="0" w:line="240" w:lineRule="auto"/>
            </w:pPr>
            <w:r>
              <w:rPr>
                <w:b/>
                <w:sz w:val="16"/>
              </w:rPr>
              <w:t xml:space="preserve">Why: </w:t>
            </w:r>
            <w:r>
              <w:rPr>
                <w:sz w:val="15"/>
              </w:rPr>
              <w:t>Unit or scale inconsistency is a high-impact format error because it changes interpretation.</w:t>
            </w:r>
          </w:p>
          <w:p>
            <w:pPr>
              <w:spacing w:after="0" w:line="240" w:lineRule="auto"/>
            </w:pPr>
            <w:r>
              <w:rPr>
                <w:b/>
                <w:sz w:val="16"/>
              </w:rPr>
              <w:t xml:space="preserve">Evidence: </w:t>
            </w:r>
            <w:r>
              <w:rPr>
                <w:sz w:val="15"/>
              </w:rPr>
              <w:t>Unit dictionary; table headers; axis labels; lab-unit metadata; manuscript search for duplicate unit forms.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11</w:t>
            </w:r>
          </w:p>
        </w:tc>
        <w:tc>
          <w:tcPr>
            <w:tcW w:type="dxa" w:w="12600"/>
            <w:vAlign w:val="top"/>
          </w:tcPr>
          <w:p>
            <w:pPr>
              <w:spacing w:after="20" w:line="240" w:lineRule="auto"/>
            </w:pPr>
            <w:r/>
            <w:r>
              <w:rPr>
                <w:b/>
                <w:sz w:val="17"/>
              </w:rPr>
              <w:t>Column alignment and decimal alignment</w:t>
            </w:r>
          </w:p>
          <w:p>
            <w:pPr>
              <w:spacing w:after="0" w:line="240" w:lineRule="auto"/>
            </w:pPr>
            <w:r>
              <w:rPr>
                <w:b/>
                <w:sz w:val="16"/>
              </w:rPr>
              <w:t xml:space="preserve">Check: </w:t>
            </w:r>
            <w:r>
              <w:rPr>
                <w:sz w:val="15"/>
              </w:rPr>
              <w:t>Right-align numeric columns, left-align text columns, align decimal points where possible, and keep CI/range columns readable without wrapped or clipped values.</w:t>
            </w:r>
          </w:p>
          <w:p>
            <w:pPr>
              <w:spacing w:after="0" w:line="240" w:lineRule="auto"/>
            </w:pPr>
            <w:r>
              <w:rPr>
                <w:b/>
                <w:sz w:val="16"/>
              </w:rPr>
              <w:t xml:space="preserve">Why: </w:t>
            </w:r>
            <w:r>
              <w:rPr>
                <w:sz w:val="15"/>
              </w:rPr>
              <w:t>Poor alignment makes independent review harder and increases the chance of unnoticed number transposition.</w:t>
            </w:r>
          </w:p>
          <w:p>
            <w:pPr>
              <w:spacing w:after="0" w:line="240" w:lineRule="auto"/>
            </w:pPr>
            <w:r>
              <w:rPr>
                <w:b/>
                <w:sz w:val="16"/>
              </w:rPr>
              <w:t xml:space="preserve">Evidence: </w:t>
            </w:r>
            <w:r>
              <w:rPr>
                <w:sz w:val="15"/>
              </w:rPr>
              <w:t>Rendered output review; Word/PDF table inspection; style-template check.</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12</w:t>
            </w:r>
          </w:p>
        </w:tc>
        <w:tc>
          <w:tcPr>
            <w:tcW w:type="dxa" w:w="12600"/>
            <w:vAlign w:val="top"/>
          </w:tcPr>
          <w:p>
            <w:pPr>
              <w:spacing w:after="20" w:line="240" w:lineRule="auto"/>
            </w:pPr>
            <w:r/>
            <w:r>
              <w:rPr>
                <w:b/>
                <w:sz w:val="17"/>
              </w:rPr>
              <w:t>Table and figure numbering, titles, and cross-references</w:t>
            </w:r>
          </w:p>
          <w:p>
            <w:pPr>
              <w:spacing w:after="0" w:line="240" w:lineRule="auto"/>
            </w:pPr>
            <w:r>
              <w:rPr>
                <w:b/>
                <w:sz w:val="16"/>
              </w:rPr>
              <w:t xml:space="preserve">Check: </w:t>
            </w:r>
            <w:r>
              <w:rPr>
                <w:sz w:val="15"/>
              </w:rPr>
              <w:t>Ensure table/figure numbers, titles, footnote references, appendix references, and in-text citations are sequential and match the final document.</w:t>
            </w:r>
          </w:p>
          <w:p>
            <w:pPr>
              <w:spacing w:after="0" w:line="240" w:lineRule="auto"/>
            </w:pPr>
            <w:r>
              <w:rPr>
                <w:b/>
                <w:sz w:val="16"/>
              </w:rPr>
              <w:t xml:space="preserve">Why: </w:t>
            </w:r>
            <w:r>
              <w:rPr>
                <w:sz w:val="15"/>
              </w:rPr>
              <w:t>Broken references and mismatched titles create confusion and can point reviewers to wrong evidence.</w:t>
            </w:r>
          </w:p>
          <w:p>
            <w:pPr>
              <w:spacing w:after="0" w:line="240" w:lineRule="auto"/>
            </w:pPr>
            <w:r>
              <w:rPr>
                <w:b/>
                <w:sz w:val="16"/>
              </w:rPr>
              <w:t xml:space="preserve">Evidence: </w:t>
            </w:r>
            <w:r>
              <w:rPr>
                <w:sz w:val="15"/>
              </w:rPr>
              <w:t>Cross-reference audit; final Word/PDF proof; table/figure list comparison.</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13</w:t>
            </w:r>
          </w:p>
        </w:tc>
        <w:tc>
          <w:tcPr>
            <w:tcW w:type="dxa" w:w="12600"/>
            <w:vAlign w:val="top"/>
          </w:tcPr>
          <w:p>
            <w:pPr>
              <w:spacing w:after="20" w:line="240" w:lineRule="auto"/>
            </w:pPr>
            <w:r/>
            <w:r>
              <w:rPr>
                <w:b/>
                <w:sz w:val="17"/>
              </w:rPr>
              <w:t>Footnotes, abbreviations, and symbols</w:t>
            </w:r>
          </w:p>
          <w:p>
            <w:pPr>
              <w:spacing w:after="0" w:line="240" w:lineRule="auto"/>
            </w:pPr>
            <w:r>
              <w:rPr>
                <w:b/>
                <w:sz w:val="16"/>
              </w:rPr>
              <w:t xml:space="preserve">Check: </w:t>
            </w:r>
            <w:r>
              <w:rPr>
                <w:sz w:val="15"/>
              </w:rPr>
              <w:t>Define all abbreviations, symbols, analysis populations, statistical methods, denominators, and imputation rules; remove unused definitions and duplicate/conflicting footnotes.</w:t>
            </w:r>
          </w:p>
          <w:p>
            <w:pPr>
              <w:spacing w:after="0" w:line="240" w:lineRule="auto"/>
            </w:pPr>
            <w:r>
              <w:rPr>
                <w:b/>
                <w:sz w:val="16"/>
              </w:rPr>
              <w:t xml:space="preserve">Why: </w:t>
            </w:r>
            <w:r>
              <w:rPr>
                <w:sz w:val="15"/>
              </w:rPr>
              <w:t>Footnotes are where key statistical qualifications often live; inconsistent footnotes can change interpretation.</w:t>
            </w:r>
          </w:p>
          <w:p>
            <w:pPr>
              <w:spacing w:after="0" w:line="240" w:lineRule="auto"/>
            </w:pPr>
            <w:r>
              <w:rPr>
                <w:b/>
                <w:sz w:val="16"/>
              </w:rPr>
              <w:t xml:space="preserve">Evidence: </w:t>
            </w:r>
            <w:r>
              <w:rPr>
                <w:sz w:val="15"/>
              </w:rPr>
              <w:t>Abbreviation list; footnote inventory; shell comparison; method-footnote audit.</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14</w:t>
            </w:r>
          </w:p>
        </w:tc>
        <w:tc>
          <w:tcPr>
            <w:tcW w:type="dxa" w:w="12600"/>
            <w:vAlign w:val="top"/>
          </w:tcPr>
          <w:p>
            <w:pPr>
              <w:spacing w:after="20" w:line="240" w:lineRule="auto"/>
            </w:pPr>
            <w:r/>
            <w:r>
              <w:rPr>
                <w:b/>
                <w:sz w:val="17"/>
              </w:rPr>
              <w:t>Category labels and ordering</w:t>
            </w:r>
          </w:p>
          <w:p>
            <w:pPr>
              <w:spacing w:after="0" w:line="240" w:lineRule="auto"/>
            </w:pPr>
            <w:r>
              <w:rPr>
                <w:b/>
                <w:sz w:val="16"/>
              </w:rPr>
              <w:t xml:space="preserve">Check: </w:t>
            </w:r>
            <w:r>
              <w:rPr>
                <w:sz w:val="15"/>
              </w:rPr>
              <w:t>Use identical category names and ordering across baseline, efficacy, safety, subgroup, and appendix tables; check capitalization and indentation.</w:t>
            </w:r>
          </w:p>
          <w:p>
            <w:pPr>
              <w:spacing w:after="0" w:line="240" w:lineRule="auto"/>
            </w:pPr>
            <w:r>
              <w:rPr>
                <w:b/>
                <w:sz w:val="16"/>
              </w:rPr>
              <w:t xml:space="preserve">Why: </w:t>
            </w:r>
            <w:r>
              <w:rPr>
                <w:sz w:val="15"/>
              </w:rPr>
              <w:t>Category drift can make identical groups appear different or hide recoding decisions.</w:t>
            </w:r>
          </w:p>
          <w:p>
            <w:pPr>
              <w:spacing w:after="0" w:line="240" w:lineRule="auto"/>
            </w:pPr>
            <w:r>
              <w:rPr>
                <w:b/>
                <w:sz w:val="16"/>
              </w:rPr>
              <w:t xml:space="preserve">Evidence: </w:t>
            </w:r>
            <w:r>
              <w:rPr>
                <w:sz w:val="15"/>
              </w:rPr>
              <w:t>Controlled terminology; category order spec; table comparison output; data dictionary.</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15</w:t>
            </w:r>
          </w:p>
        </w:tc>
        <w:tc>
          <w:tcPr>
            <w:tcW w:type="dxa" w:w="12600"/>
            <w:vAlign w:val="top"/>
          </w:tcPr>
          <w:p>
            <w:pPr>
              <w:spacing w:after="20" w:line="240" w:lineRule="auto"/>
            </w:pPr>
            <w:r/>
            <w:r>
              <w:rPr>
                <w:b/>
                <w:sz w:val="17"/>
              </w:rPr>
              <w:t>Date, visit, and time-window formatting</w:t>
            </w:r>
          </w:p>
          <w:p>
            <w:pPr>
              <w:spacing w:after="0" w:line="240" w:lineRule="auto"/>
            </w:pPr>
            <w:r>
              <w:rPr>
                <w:b/>
                <w:sz w:val="16"/>
              </w:rPr>
              <w:t xml:space="preserve">Check: </w:t>
            </w:r>
            <w:r>
              <w:rPr>
                <w:sz w:val="15"/>
              </w:rPr>
              <w:t>Use consistent date formats, visit labels, baseline definitions, duration units, data-cutoff labels, and time-window names across all displays.</w:t>
            </w:r>
          </w:p>
          <w:p>
            <w:pPr>
              <w:spacing w:after="0" w:line="240" w:lineRule="auto"/>
            </w:pPr>
            <w:r>
              <w:rPr>
                <w:b/>
                <w:sz w:val="16"/>
              </w:rPr>
              <w:t xml:space="preserve">Why: </w:t>
            </w:r>
            <w:r>
              <w:rPr>
                <w:sz w:val="15"/>
              </w:rPr>
              <w:t>Date and visit inconsistencies can make the analysis population or follow-up period ambiguous.</w:t>
            </w:r>
          </w:p>
          <w:p>
            <w:pPr>
              <w:spacing w:after="0" w:line="240" w:lineRule="auto"/>
            </w:pPr>
            <w:r>
              <w:rPr>
                <w:b/>
                <w:sz w:val="16"/>
              </w:rPr>
              <w:t xml:space="preserve">Evidence: </w:t>
            </w:r>
            <w:r>
              <w:rPr>
                <w:sz w:val="15"/>
              </w:rPr>
              <w:t>Visit-window spec; data-cutoff memo; schedule of assessments; manuscript/TLF search for date formats.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16</w:t>
            </w:r>
          </w:p>
        </w:tc>
        <w:tc>
          <w:tcPr>
            <w:tcW w:type="dxa" w:w="12600"/>
            <w:vAlign w:val="top"/>
          </w:tcPr>
          <w:p>
            <w:pPr>
              <w:spacing w:after="20" w:line="240" w:lineRule="auto"/>
            </w:pPr>
            <w:r/>
            <w:r>
              <w:rPr>
                <w:b/>
                <w:sz w:val="17"/>
              </w:rPr>
              <w:t>Inequality signs, ranges, and interval notation</w:t>
            </w:r>
          </w:p>
          <w:p>
            <w:pPr>
              <w:spacing w:after="0" w:line="240" w:lineRule="auto"/>
            </w:pPr>
            <w:r>
              <w:rPr>
                <w:b/>
                <w:sz w:val="16"/>
              </w:rPr>
              <w:t xml:space="preserve">Check: </w:t>
            </w:r>
            <w:r>
              <w:rPr>
                <w:sz w:val="15"/>
              </w:rPr>
              <w:t>Use &lt;, &lt;=, &gt;, &gt;=, hyphenated ranges, and interval notation consistently; avoid mixing symbols with words unless required by style.</w:t>
            </w:r>
          </w:p>
          <w:p>
            <w:pPr>
              <w:spacing w:after="0" w:line="240" w:lineRule="auto"/>
            </w:pPr>
            <w:r>
              <w:rPr>
                <w:b/>
                <w:sz w:val="16"/>
              </w:rPr>
              <w:t xml:space="preserve">Why: </w:t>
            </w:r>
            <w:r>
              <w:rPr>
                <w:sz w:val="15"/>
              </w:rPr>
              <w:t>Small symbol differences can change category boundaries or statistical meaning.</w:t>
            </w:r>
          </w:p>
          <w:p>
            <w:pPr>
              <w:spacing w:after="0" w:line="240" w:lineRule="auto"/>
            </w:pPr>
            <w:r>
              <w:rPr>
                <w:b/>
                <w:sz w:val="16"/>
              </w:rPr>
              <w:t xml:space="preserve">Evidence: </w:t>
            </w:r>
            <w:r>
              <w:rPr>
                <w:sz w:val="15"/>
              </w:rPr>
              <w:t>Category derivation specs; table shells; search for inequality symbols and range delimiters.</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17</w:t>
            </w:r>
          </w:p>
        </w:tc>
        <w:tc>
          <w:tcPr>
            <w:tcW w:type="dxa" w:w="12600"/>
            <w:vAlign w:val="top"/>
          </w:tcPr>
          <w:p>
            <w:pPr>
              <w:spacing w:after="20" w:line="240" w:lineRule="auto"/>
            </w:pPr>
            <w:r/>
            <w:r>
              <w:rPr>
                <w:b/>
                <w:sz w:val="17"/>
              </w:rPr>
              <w:t>Figure axis precision, labels, and legends</w:t>
            </w:r>
          </w:p>
          <w:p>
            <w:pPr>
              <w:spacing w:after="0" w:line="240" w:lineRule="auto"/>
            </w:pPr>
            <w:r>
              <w:rPr>
                <w:b/>
                <w:sz w:val="16"/>
              </w:rPr>
              <w:t xml:space="preserve">Check: </w:t>
            </w:r>
            <w:r>
              <w:rPr>
                <w:sz w:val="15"/>
              </w:rPr>
              <w:t>Match axis precision, tick marks, legend wording, group labels, symbols, and footnotes to the table/source data and style guide.</w:t>
            </w:r>
          </w:p>
          <w:p>
            <w:pPr>
              <w:spacing w:after="0" w:line="240" w:lineRule="auto"/>
            </w:pPr>
            <w:r>
              <w:rPr>
                <w:b/>
                <w:sz w:val="16"/>
              </w:rPr>
              <w:t xml:space="preserve">Why: </w:t>
            </w:r>
            <w:r>
              <w:rPr>
                <w:sz w:val="15"/>
              </w:rPr>
              <w:t>Graphical precision that differs from table precision can imply unsupported detail or create visible mismatches.</w:t>
            </w:r>
          </w:p>
          <w:p>
            <w:pPr>
              <w:spacing w:after="0" w:line="240" w:lineRule="auto"/>
            </w:pPr>
            <w:r>
              <w:rPr>
                <w:b/>
                <w:sz w:val="16"/>
              </w:rPr>
              <w:t xml:space="preserve">Evidence: </w:t>
            </w:r>
            <w:r>
              <w:rPr>
                <w:sz w:val="15"/>
              </w:rPr>
              <w:t>Figure source data; rendered figure proof; axis-label checklist; graph program output.</w:t>
            </w:r>
          </w:p>
        </w:tc>
        <w:tc>
          <w:tcPr>
            <w:tcW w:type="dxa" w:w="1800"/>
            <w:vAlign w:val="top"/>
          </w:tcPr>
          <w:p>
            <w:pPr>
              <w:spacing w:after="0"/>
              <w:jc w:val="left"/>
            </w:pPr>
            <w:r>
              <w:rPr>
                <w:sz w:val="16"/>
              </w:rPr>
              <w:t>☐ Yes</w:t>
              <w:br/>
              <w:t>☐ No</w:t>
              <w:br/>
              <w:t>☐ N/A</w:t>
            </w:r>
          </w:p>
        </w:tc>
      </w:tr>
      <w:tr>
        <w:trPr>
          <w:cantSplit/>
        </w:trPr>
        <w:tc>
          <w:tcPr>
            <w:tcW w:type="dxa" w:w="792"/>
            <w:vAlign w:val="top"/>
          </w:tcPr>
          <w:p>
            <w:pPr>
              <w:spacing w:after="0"/>
              <w:jc w:val="center"/>
            </w:pPr>
            <w:r>
              <w:rPr>
                <w:b/>
                <w:sz w:val="16"/>
              </w:rPr>
              <w:t>18</w:t>
            </w:r>
          </w:p>
        </w:tc>
        <w:tc>
          <w:tcPr>
            <w:tcW w:type="dxa" w:w="12600"/>
            <w:vAlign w:val="top"/>
          </w:tcPr>
          <w:p>
            <w:pPr>
              <w:spacing w:after="20" w:line="240" w:lineRule="auto"/>
            </w:pPr>
            <w:r/>
            <w:r>
              <w:rPr>
                <w:b/>
                <w:sz w:val="17"/>
              </w:rPr>
              <w:t>Final rendered-output proofing</w:t>
            </w:r>
          </w:p>
          <w:p>
            <w:pPr>
              <w:spacing w:after="0" w:line="240" w:lineRule="auto"/>
            </w:pPr>
            <w:r>
              <w:rPr>
                <w:b/>
                <w:sz w:val="16"/>
              </w:rPr>
              <w:t xml:space="preserve">Check: </w:t>
            </w:r>
            <w:r>
              <w:rPr>
                <w:sz w:val="15"/>
              </w:rPr>
              <w:t>Review the final Word/PDF render for truncation, page breaks, wrapping, hidden digits, clipped footnotes, repeated headers, orphan rows, and font substitution.</w:t>
            </w:r>
          </w:p>
          <w:p>
            <w:pPr>
              <w:spacing w:after="0" w:line="240" w:lineRule="auto"/>
            </w:pPr>
            <w:r>
              <w:rPr>
                <w:b/>
                <w:sz w:val="16"/>
              </w:rPr>
              <w:t xml:space="preserve">Why: </w:t>
            </w:r>
            <w:r>
              <w:rPr>
                <w:sz w:val="15"/>
              </w:rPr>
              <w:t>Even accurate source tables can fail in the delivered document if rendering changes layout or hides content.</w:t>
            </w:r>
          </w:p>
          <w:p>
            <w:pPr>
              <w:spacing w:after="0" w:line="240" w:lineRule="auto"/>
            </w:pPr>
            <w:r>
              <w:rPr>
                <w:b/>
                <w:sz w:val="16"/>
              </w:rPr>
              <w:t xml:space="preserve">Evidence: </w:t>
            </w:r>
            <w:r>
              <w:rPr>
                <w:sz w:val="15"/>
              </w:rPr>
              <w:t>Final proof checklist; rendered PDF/Word comparison; page-by-page signoff.</w:t>
            </w:r>
          </w:p>
        </w:tc>
        <w:tc>
          <w:tcPr>
            <w:tcW w:type="dxa" w:w="1800"/>
            <w:vAlign w:val="top"/>
          </w:tcPr>
          <w:p>
            <w:pPr>
              <w:spacing w:after="0"/>
              <w:jc w:val="left"/>
            </w:pPr>
            <w:r>
              <w:rPr>
                <w:sz w:val="16"/>
              </w:rPr>
              <w:t>☐ Yes</w:t>
              <w:br/>
              <w:t>☐ No</w:t>
              <w:br/>
              <w:t>☐ N/A</w:t>
            </w:r>
          </w:p>
        </w:tc>
      </w:tr>
    </w:tbl>
    <w:p>
      <w:pPr>
        <w:spacing w:after="80" w:line="240" w:lineRule="auto"/>
      </w:pPr>
    </w:p>
    <w:p>
      <w:pPr>
        <w:spacing w:after="80" w:line="240" w:lineRule="auto"/>
      </w:pPr>
      <w:r>
        <w:rPr>
          <w:sz w:val="18"/>
        </w:rPr>
        <w:br w:type="page"/>
      </w:r>
    </w:p>
    <w:p>
      <w:pPr>
        <w:pStyle w:val="Heading1"/>
      </w:pPr>
      <w:r>
        <w:t>Agent output fields for numerical and format QC</w:t>
      </w:r>
    </w:p>
    <w:p>
      <w:pPr>
        <w:spacing w:after="80" w:line="240" w:lineRule="auto"/>
      </w:pPr>
      <w:r>
        <w:rPr>
          <w:sz w:val="18"/>
        </w:rPr>
        <w:t>For numerical and formatting checks, the Copilot agent should return structured findings that separate arithmetic errors from style deviations. The recommended fields below make the output easy to triage and convert into reviewer queries.</w:t>
      </w:r>
    </w:p>
    <w:tbl>
      <w:tblGrid>
        <w:gridCol w:w="3168"/>
        <w:gridCol w:w="12024"/>
      </w:tblGrid>
      <w:tblPr>
        <w:tblStyle w:val="TableGrid"/>
        <w:tblW w:type="auto" w:w="0"/>
        <w:jc w:val="center"/>
        <w:tblLayout w:type="fixed"/>
        <w:tblLook w:firstColumn="1" w:firstRow="1" w:lastColumn="0" w:lastRow="0" w:noHBand="0" w:noVBand="1" w:val="04A0"/>
      </w:tblPr>
      <w:tr>
        <w:tc>
          <w:tcPr>
            <w:tcW w:type="dxa" w:w="3168"/>
            <w:shd w:fill="D9EAF7"/>
          </w:tcPr>
          <w:p>
            <w:pPr>
              <w:jc w:val="center"/>
            </w:pPr>
            <w:r>
              <w:rPr>
                <w:b/>
                <w:sz w:val="17"/>
              </w:rPr>
              <w:t>Field</w:t>
            </w:r>
          </w:p>
        </w:tc>
        <w:tc>
          <w:tcPr>
            <w:tcW w:type="dxa" w:w="12024"/>
            <w:shd w:fill="D9EAF7"/>
          </w:tcPr>
          <w:p>
            <w:pPr>
              <w:jc w:val="center"/>
            </w:pPr>
            <w:r>
              <w:rPr>
                <w:b/>
                <w:sz w:val="17"/>
              </w:rPr>
              <w:t>Expected content</w:t>
            </w:r>
          </w:p>
        </w:tc>
      </w:tr>
      <w:tr>
        <w:trPr>
          <w:cantSplit/>
        </w:trPr>
        <w:tc>
          <w:tcPr>
            <w:tcW w:type="dxa" w:w="3168"/>
            <w:vAlign w:val="top"/>
          </w:tcPr>
          <w:p>
            <w:pPr>
              <w:spacing w:after="0"/>
            </w:pPr>
            <w:r>
              <w:rPr>
                <w:sz w:val="16"/>
              </w:rPr>
              <w:t>Location</w:t>
            </w:r>
          </w:p>
        </w:tc>
        <w:tc>
          <w:tcPr>
            <w:tcW w:type="dxa" w:w="12024"/>
            <w:vAlign w:val="top"/>
          </w:tcPr>
          <w:p>
            <w:pPr>
              <w:spacing w:after="0"/>
            </w:pPr>
            <w:r>
              <w:rPr>
                <w:sz w:val="16"/>
              </w:rPr>
              <w:t>Document, section, table/figure/listing number, row, column, page, and output ID.</w:t>
            </w:r>
          </w:p>
        </w:tc>
      </w:tr>
      <w:tr>
        <w:trPr>
          <w:cantSplit/>
        </w:trPr>
        <w:tc>
          <w:tcPr>
            <w:tcW w:type="dxa" w:w="3168"/>
            <w:vAlign w:val="top"/>
          </w:tcPr>
          <w:p>
            <w:pPr>
              <w:spacing w:after="0"/>
            </w:pPr>
            <w:r>
              <w:rPr>
                <w:sz w:val="16"/>
              </w:rPr>
              <w:t>Displayed value</w:t>
            </w:r>
          </w:p>
        </w:tc>
        <w:tc>
          <w:tcPr>
            <w:tcW w:type="dxa" w:w="12024"/>
            <w:vAlign w:val="top"/>
          </w:tcPr>
          <w:p>
            <w:pPr>
              <w:spacing w:after="0"/>
            </w:pPr>
            <w:r>
              <w:rPr>
                <w:sz w:val="16"/>
              </w:rPr>
              <w:t>The value or format exactly as shown in the deliverable.</w:t>
            </w:r>
          </w:p>
        </w:tc>
      </w:tr>
      <w:tr>
        <w:trPr>
          <w:cantSplit/>
        </w:trPr>
        <w:tc>
          <w:tcPr>
            <w:tcW w:type="dxa" w:w="3168"/>
            <w:vAlign w:val="top"/>
          </w:tcPr>
          <w:p>
            <w:pPr>
              <w:spacing w:after="0"/>
            </w:pPr>
            <w:r>
              <w:rPr>
                <w:sz w:val="16"/>
              </w:rPr>
              <w:t>Source value</w:t>
            </w:r>
          </w:p>
        </w:tc>
        <w:tc>
          <w:tcPr>
            <w:tcW w:type="dxa" w:w="12024"/>
            <w:vAlign w:val="top"/>
          </w:tcPr>
          <w:p>
            <w:pPr>
              <w:spacing w:after="0"/>
            </w:pPr>
            <w:r>
              <w:rPr>
                <w:sz w:val="16"/>
              </w:rPr>
              <w:t>The value from the authoritative source, including version, data cutoff, run date, and program/output name.</w:t>
            </w:r>
          </w:p>
        </w:tc>
      </w:tr>
      <w:tr>
        <w:trPr>
          <w:cantSplit/>
        </w:trPr>
        <w:tc>
          <w:tcPr>
            <w:tcW w:type="dxa" w:w="3168"/>
            <w:vAlign w:val="top"/>
          </w:tcPr>
          <w:p>
            <w:pPr>
              <w:spacing w:after="0"/>
            </w:pPr>
            <w:r>
              <w:rPr>
                <w:sz w:val="16"/>
              </w:rPr>
              <w:t>Expected value or format</w:t>
            </w:r>
          </w:p>
        </w:tc>
        <w:tc>
          <w:tcPr>
            <w:tcW w:type="dxa" w:w="12024"/>
            <w:vAlign w:val="top"/>
          </w:tcPr>
          <w:p>
            <w:pPr>
              <w:spacing w:after="0"/>
            </w:pPr>
            <w:r>
              <w:rPr>
                <w:sz w:val="16"/>
              </w:rPr>
              <w:t>The recalculated value or the expected style based on the project rule.</w:t>
            </w:r>
          </w:p>
        </w:tc>
      </w:tr>
      <w:tr>
        <w:trPr>
          <w:cantSplit/>
        </w:trPr>
        <w:tc>
          <w:tcPr>
            <w:tcW w:type="dxa" w:w="3168"/>
            <w:vAlign w:val="top"/>
          </w:tcPr>
          <w:p>
            <w:pPr>
              <w:spacing w:after="0"/>
            </w:pPr>
            <w:r>
              <w:rPr>
                <w:sz w:val="16"/>
              </w:rPr>
              <w:t>Difference type</w:t>
            </w:r>
          </w:p>
        </w:tc>
        <w:tc>
          <w:tcPr>
            <w:tcW w:type="dxa" w:w="12024"/>
            <w:vAlign w:val="top"/>
          </w:tcPr>
          <w:p>
            <w:pPr>
              <w:spacing w:after="0"/>
            </w:pPr>
            <w:r>
              <w:rPr>
                <w:sz w:val="16"/>
              </w:rPr>
              <w:t>Arithmetic error, denominator error, rounding issue, stale value, transcription error, unit/scale error, or format/style inconsistency.</w:t>
            </w:r>
          </w:p>
        </w:tc>
      </w:tr>
      <w:tr>
        <w:trPr>
          <w:cantSplit/>
        </w:trPr>
        <w:tc>
          <w:tcPr>
            <w:tcW w:type="dxa" w:w="3168"/>
            <w:vAlign w:val="top"/>
          </w:tcPr>
          <w:p>
            <w:pPr>
              <w:spacing w:after="0"/>
            </w:pPr>
            <w:r>
              <w:rPr>
                <w:sz w:val="16"/>
              </w:rPr>
              <w:t>Severity</w:t>
            </w:r>
          </w:p>
        </w:tc>
        <w:tc>
          <w:tcPr>
            <w:tcW w:type="dxa" w:w="12024"/>
            <w:vAlign w:val="top"/>
          </w:tcPr>
          <w:p>
            <w:pPr>
              <w:spacing w:after="0"/>
            </w:pPr>
            <w:r>
              <w:rPr>
                <w:sz w:val="16"/>
              </w:rPr>
              <w:t>Critical, high, medium, or low, based on whether the issue changes interpretation, claim language, or regulatory/journal acceptability.</w:t>
            </w:r>
          </w:p>
        </w:tc>
      </w:tr>
      <w:tr>
        <w:trPr>
          <w:cantSplit/>
        </w:trPr>
        <w:tc>
          <w:tcPr>
            <w:tcW w:type="dxa" w:w="3168"/>
            <w:vAlign w:val="top"/>
          </w:tcPr>
          <w:p>
            <w:pPr>
              <w:spacing w:after="0"/>
            </w:pPr>
            <w:r>
              <w:rPr>
                <w:sz w:val="16"/>
              </w:rPr>
              <w:t>Recommended correction</w:t>
            </w:r>
          </w:p>
        </w:tc>
        <w:tc>
          <w:tcPr>
            <w:tcW w:type="dxa" w:w="12024"/>
            <w:vAlign w:val="top"/>
          </w:tcPr>
          <w:p>
            <w:pPr>
              <w:spacing w:after="0"/>
            </w:pPr>
            <w:r>
              <w:rPr>
                <w:sz w:val="16"/>
              </w:rPr>
              <w:t>Specific replacement value, revised footnote, table-shell change, or reviewer query.</w:t>
            </w:r>
          </w:p>
        </w:tc>
      </w:tr>
      <w:tr>
        <w:trPr>
          <w:cantSplit/>
        </w:trPr>
        <w:tc>
          <w:tcPr>
            <w:tcW w:type="dxa" w:w="3168"/>
            <w:vAlign w:val="top"/>
          </w:tcPr>
          <w:p>
            <w:pPr>
              <w:spacing w:after="0"/>
            </w:pPr>
            <w:r>
              <w:rPr>
                <w:sz w:val="16"/>
              </w:rPr>
              <w:t>Verification status</w:t>
            </w:r>
          </w:p>
        </w:tc>
        <w:tc>
          <w:tcPr>
            <w:tcW w:type="dxa" w:w="12024"/>
            <w:vAlign w:val="top"/>
          </w:tcPr>
          <w:p>
            <w:pPr>
              <w:spacing w:after="0"/>
            </w:pPr>
            <w:r>
              <w:rPr>
                <w:sz w:val="16"/>
              </w:rPr>
              <w:t>Open, fixed pending rerun, fixed and verified, intentional difference documented, or not applicable.</w:t>
            </w:r>
          </w:p>
        </w:tc>
      </w:tr>
    </w:tbl>
    <w:p>
      <w:pPr>
        <w:spacing w:after="80" w:line="240" w:lineRule="auto"/>
      </w:pPr>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Statistics QC Review Checklists | Oncology, non-oncology, observational, numerical accuracy, and formatting modules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Statistics QC and Review Companion Checklists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