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738FA4DE" w:rsidR="004F2DDB" w:rsidRPr="002966D1" w:rsidRDefault="00A756A3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Lateral Seismic Anisotropy Variations in Caucasus Region of West Asia </w:t>
      </w:r>
    </w:p>
    <w:p w14:paraId="1473B6EF" w14:textId="1035F91A" w:rsidR="00953DA9" w:rsidRPr="00A756A3" w:rsidRDefault="00953DA9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lang w:val="en-US"/>
        </w:rPr>
      </w:pPr>
      <w:r w:rsidRPr="00953DA9"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  <w:t>西亞高加索地區的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側向震波非均向性變化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  <w:lang w:val="en-US"/>
        </w:rPr>
      </w:pP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6B7BD450" w14:textId="326BA7C7" w:rsidR="00AA042D" w:rsidRDefault="00D75439" w:rsidP="00AA042D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</w:r>
      <w:r w:rsidR="005F2042">
        <w:rPr>
          <w:rFonts w:ascii="Times New Roman" w:eastAsia="DFKai-SB" w:hAnsi="Times New Roman" w:cs="Times New Roman"/>
          <w:color w:val="000000"/>
          <w:lang w:val="en-US"/>
        </w:rPr>
        <w:t xml:space="preserve">Caucasus region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is young and active collision zone in </w:t>
      </w:r>
      <w:r w:rsidR="005C2C0A">
        <w:rPr>
          <w:rFonts w:ascii="Times New Roman" w:eastAsia="DFKai-SB" w:hAnsi="Times New Roman" w:cs="Times New Roman"/>
          <w:color w:val="000000"/>
          <w:lang w:val="en-US"/>
        </w:rPr>
        <w:t>w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est Asia. In order to clarify the dynamics of continental collision between Arabian and Eurasian Plates, s</w:t>
      </w:r>
      <w:r w:rsidR="003F3EE0" w:rsidRPr="003F3EE0">
        <w:rPr>
          <w:rFonts w:ascii="Times New Roman" w:eastAsia="DFKai-SB" w:hAnsi="Times New Roman" w:cs="Times New Roman"/>
          <w:color w:val="000000"/>
          <w:lang w:val="en-US"/>
        </w:rPr>
        <w:t>eismic anisotropy can be one of indicators</w:t>
      </w:r>
      <w:r w:rsidR="005469FB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3F3EE0" w:rsidRPr="003F3EE0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7D51A6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have unique opportunity to study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Caucasus </w:t>
      </w:r>
      <w:r w:rsidR="002966D1">
        <w:rPr>
          <w:rFonts w:ascii="Times New Roman" w:eastAsia="DFKai-SB" w:hAnsi="Times New Roman" w:cs="Times New Roman"/>
          <w:color w:val="000000"/>
          <w:lang w:val="en-US"/>
        </w:rPr>
        <w:t xml:space="preserve">region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where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are deficient in analysis of </w:t>
      </w:r>
      <w:r w:rsidR="002966D1">
        <w:rPr>
          <w:rFonts w:ascii="Times New Roman" w:eastAsia="DFKai-SB" w:hAnsi="Times New Roman" w:cs="Times New Roman"/>
          <w:color w:val="000000"/>
          <w:lang w:val="en-US"/>
        </w:rPr>
        <w:t>seismic anisotropy</w:t>
      </w:r>
      <w:r w:rsidR="005F6653">
        <w:rPr>
          <w:rFonts w:ascii="Times New Roman" w:eastAsia="DFKai-SB" w:hAnsi="Times New Roman" w:cs="Times New Roman"/>
          <w:color w:val="000000"/>
          <w:lang w:val="en-US"/>
        </w:rPr>
        <w:t xml:space="preserve"> and further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A042D" w:rsidRPr="003F3EE0">
        <w:rPr>
          <w:rFonts w:ascii="Times New Roman" w:eastAsia="DFKai-SB" w:hAnsi="Times New Roman" w:cs="Times New Roman"/>
          <w:color w:val="000000"/>
          <w:lang w:val="en-US"/>
        </w:rPr>
        <w:t xml:space="preserve">understand the relationship between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asthenosphere and lithosphere</w:t>
      </w:r>
      <w:r w:rsidR="005C2C0A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625B814A" w:rsidR="00CC540E" w:rsidRPr="000017A3" w:rsidRDefault="007D51A6" w:rsidP="00AA042D">
      <w:pPr>
        <w:spacing w:line="360" w:lineRule="auto"/>
        <w:ind w:firstLine="720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mainly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used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the broad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band seismograph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deployed in Georgia and Armenia in 2010-2020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. We chose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SK(K)S phase</w:t>
      </w:r>
      <w:r w:rsidR="0007573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of tele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seismic wave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and applied the shear-wave splitting (SWS) to measure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fast-direction and </w:t>
      </w:r>
      <w:r w:rsidR="0078056A">
        <w:rPr>
          <w:rFonts w:ascii="Times New Roman" w:eastAsia="DFKai-SB" w:hAnsi="Times New Roman" w:cs="Times New Roman"/>
          <w:color w:val="000000"/>
          <w:lang w:val="en-US"/>
        </w:rPr>
        <w:t>delay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time of seismic anisotropy.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Especially, we </w:t>
      </w:r>
      <w:r w:rsidR="00504553">
        <w:rPr>
          <w:rFonts w:ascii="Times New Roman" w:eastAsia="DFKai-SB" w:hAnsi="Times New Roman" w:cs="Times New Roman"/>
          <w:color w:val="000000"/>
          <w:lang w:val="en-US"/>
        </w:rPr>
        <w:t>utilized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principal components analysis to improve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our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SWS </w:t>
      </w:r>
      <w:r w:rsidR="00504553">
        <w:rPr>
          <w:rFonts w:ascii="Times New Roman" w:eastAsia="DFKai-SB" w:hAnsi="Times New Roman" w:cs="Times New Roman"/>
          <w:color w:val="000000"/>
          <w:lang w:val="en-US"/>
        </w:rPr>
        <w:t>measurement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used 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2966D1">
        <w:rPr>
          <w:rFonts w:ascii="Times New Roman" w:eastAsia="DFKai-SB" w:hAnsi="Times New Roman" w:cs="Times New Roman"/>
          <w:color w:val="000000"/>
          <w:lang w:val="en-US"/>
        </w:rPr>
        <w:t xml:space="preserve">with high quality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anisotropy below the station. </w:t>
      </w:r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Furthermore, we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also </w:t>
      </w:r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>confirmed the depth and strength of anisotropy via 1-D forward modeling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because shear wave</w:t>
      </w:r>
      <w:r w:rsidR="00F01102">
        <w:rPr>
          <w:rFonts w:ascii="Times New Roman" w:eastAsia="DFKai-SB" w:hAnsi="Times New Roman" w:cs="Times New Roman"/>
          <w:color w:val="000000"/>
          <w:lang w:val="en-US"/>
        </w:rPr>
        <w:t xml:space="preserve">s have near-vertical path-integrated effect. </w:t>
      </w:r>
    </w:p>
    <w:p w14:paraId="34209846" w14:textId="102D1CEB" w:rsidR="007C5758" w:rsidRDefault="00FE6451" w:rsidP="005469FB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overall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fast-direction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shows NE-SW direction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Moreover, </w:t>
      </w:r>
      <w:r w:rsidR="00A756A3">
        <w:rPr>
          <w:rFonts w:ascii="Times New Roman" w:eastAsia="DFKai-SB" w:hAnsi="Times New Roman" w:cs="Times New Roman"/>
          <w:color w:val="000000"/>
          <w:lang w:val="en-US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  <w:lang w:val="en-US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ime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significantly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estern Caucasus to 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in southeastern Caucasus, where </w:t>
      </w:r>
      <w:r w:rsidR="00504553">
        <w:rPr>
          <w:rFonts w:ascii="Times New Roman" w:eastAsia="DFKai-SB" w:hAnsi="Times New Roman" w:cs="Times New Roman"/>
          <w:color w:val="000000"/>
          <w:lang w:val="en-US"/>
        </w:rPr>
        <w:t xml:space="preserve">were identified volcano plateau in Armenia. </w:t>
      </w:r>
      <w:r w:rsidR="0091647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We propose that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the large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scale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seismic anisotropy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asthenosphere dominate and </w:t>
      </w:r>
      <w:r w:rsidR="00C45C6D" w:rsidRPr="001F59AC">
        <w:rPr>
          <w:rFonts w:ascii="Times New Roman" w:eastAsia="DFKai-SB" w:hAnsi="Times New Roman" w:cs="Times New Roman"/>
          <w:color w:val="000000"/>
          <w:lang w:val="en-US"/>
        </w:rPr>
        <w:t>obvious variation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 of strength 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may be related to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small-scale </w:t>
      </w:r>
      <w:r w:rsidR="007B7B17" w:rsidRPr="001F59AC">
        <w:rPr>
          <w:rFonts w:ascii="Times New Roman" w:eastAsia="DFKai-SB" w:hAnsi="Times New Roman" w:cs="Times New Roman"/>
          <w:color w:val="000000"/>
          <w:lang w:val="en-US"/>
        </w:rPr>
        <w:t>thermal anomaly caused by upwelling of upper mantle</w:t>
      </w:r>
      <w:r w:rsidR="001F454E">
        <w:rPr>
          <w:rFonts w:ascii="Times New Roman" w:eastAsia="DFKai-SB" w:hAnsi="Times New Roman" w:cs="Times New Roman"/>
          <w:color w:val="000000"/>
          <w:lang w:val="en-US"/>
        </w:rPr>
        <w:t>.</w:t>
      </w:r>
    </w:p>
    <w:p w14:paraId="2FC1DFC0" w14:textId="77777777" w:rsidR="002966D1" w:rsidRPr="000017A3" w:rsidRDefault="002966D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 w:hint="eastAsia"/>
          <w:color w:val="000000"/>
          <w:lang w:val="en-US"/>
        </w:rPr>
        <w:t>＊</w:t>
      </w:r>
      <w:r>
        <w:rPr>
          <w:rFonts w:ascii="Times New Roman" w:eastAsia="DFKai-SB" w:hAnsi="Times New Roman" w:cs="Times New Roman"/>
          <w:color w:val="000000"/>
          <w:lang w:val="en-US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S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8E63" w14:textId="77777777" w:rsidR="007E29DC" w:rsidRDefault="007E29DC" w:rsidP="00A756A3">
      <w:r>
        <w:separator/>
      </w:r>
    </w:p>
  </w:endnote>
  <w:endnote w:type="continuationSeparator" w:id="0">
    <w:p w14:paraId="305E79E5" w14:textId="77777777" w:rsidR="007E29DC" w:rsidRDefault="007E29DC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C063" w14:textId="77777777" w:rsidR="007E29DC" w:rsidRDefault="007E29DC" w:rsidP="00A756A3">
      <w:r>
        <w:separator/>
      </w:r>
    </w:p>
  </w:footnote>
  <w:footnote w:type="continuationSeparator" w:id="0">
    <w:p w14:paraId="40E33422" w14:textId="77777777" w:rsidR="007E29DC" w:rsidRDefault="007E29DC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4C5C"/>
    <w:rsid w:val="0003756A"/>
    <w:rsid w:val="00075731"/>
    <w:rsid w:val="000C7F60"/>
    <w:rsid w:val="00106033"/>
    <w:rsid w:val="00172475"/>
    <w:rsid w:val="001970E1"/>
    <w:rsid w:val="001E7054"/>
    <w:rsid w:val="001F454E"/>
    <w:rsid w:val="001F59AC"/>
    <w:rsid w:val="00251F11"/>
    <w:rsid w:val="00267A29"/>
    <w:rsid w:val="002956A2"/>
    <w:rsid w:val="002966D1"/>
    <w:rsid w:val="002A4542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B4093"/>
    <w:rsid w:val="004D57D5"/>
    <w:rsid w:val="004F2DDB"/>
    <w:rsid w:val="00504553"/>
    <w:rsid w:val="00506B15"/>
    <w:rsid w:val="005469FB"/>
    <w:rsid w:val="005C01FE"/>
    <w:rsid w:val="005C2C0A"/>
    <w:rsid w:val="005F2042"/>
    <w:rsid w:val="005F6653"/>
    <w:rsid w:val="005F6702"/>
    <w:rsid w:val="00631287"/>
    <w:rsid w:val="00636C92"/>
    <w:rsid w:val="0064056E"/>
    <w:rsid w:val="00645AA9"/>
    <w:rsid w:val="00657B99"/>
    <w:rsid w:val="006622A4"/>
    <w:rsid w:val="006B590A"/>
    <w:rsid w:val="006C287D"/>
    <w:rsid w:val="006F2F17"/>
    <w:rsid w:val="00714BFB"/>
    <w:rsid w:val="0078056A"/>
    <w:rsid w:val="007945DE"/>
    <w:rsid w:val="007B7B17"/>
    <w:rsid w:val="007C5758"/>
    <w:rsid w:val="007D51A6"/>
    <w:rsid w:val="007E29DC"/>
    <w:rsid w:val="008D3CDE"/>
    <w:rsid w:val="008E74B8"/>
    <w:rsid w:val="00916479"/>
    <w:rsid w:val="00953DA9"/>
    <w:rsid w:val="009728E1"/>
    <w:rsid w:val="009F56EA"/>
    <w:rsid w:val="00A015E8"/>
    <w:rsid w:val="00A51F18"/>
    <w:rsid w:val="00A756A3"/>
    <w:rsid w:val="00A76B86"/>
    <w:rsid w:val="00AA042D"/>
    <w:rsid w:val="00AF7F62"/>
    <w:rsid w:val="00B42F60"/>
    <w:rsid w:val="00C45C6D"/>
    <w:rsid w:val="00C813E5"/>
    <w:rsid w:val="00CC540E"/>
    <w:rsid w:val="00D75439"/>
    <w:rsid w:val="00D82E48"/>
    <w:rsid w:val="00D8536E"/>
    <w:rsid w:val="00DC0B11"/>
    <w:rsid w:val="00E0608A"/>
    <w:rsid w:val="00E73331"/>
    <w:rsid w:val="00E812C0"/>
    <w:rsid w:val="00ED3E36"/>
    <w:rsid w:val="00F01102"/>
    <w:rsid w:val="00F615FD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288</Words>
  <Characters>1599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29</cp:revision>
  <dcterms:created xsi:type="dcterms:W3CDTF">2022-01-30T04:53:00Z</dcterms:created>
  <dcterms:modified xsi:type="dcterms:W3CDTF">2022-03-30T06:55:00Z</dcterms:modified>
</cp:coreProperties>
</file>