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Study Design</w:t>
      </w:r>
    </w:p>
    <w:p>
      <w:r>
        <w:t>The dose escalation will follow the protocol.</w:t>
      </w:r>
    </w:p>
    <w:p>
      <w:r>
        <w:t>3/20 subjects (15.0%) had treatment-emergent adverse events.</w:t>
      </w:r>
    </w:p>
    <w:p>
      <w:r>
        <w:t>Table 1. Subject disposition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Male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Female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p>
      <w:r>
        <w:t>See Table 1 for details.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Protocol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Protocol Version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