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>2019</w:t>
      </w:r>
      <w:r>
        <w:rPr>
          <w:rFonts w:hint="eastAsia" w:ascii="微软雅黑" w:hAnsi="微软雅黑" w:eastAsia="微软雅黑" w:cs="宋体"/>
          <w:sz w:val="22"/>
          <w:szCs w:val="22"/>
        </w:rPr>
        <w:t>年5月考季试卷二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宋体"/>
          <w:sz w:val="22"/>
          <w:szCs w:val="22"/>
        </w:rPr>
        <w:drawing>
          <wp:inline distT="0" distB="0" distL="0" distR="0">
            <wp:extent cx="5716905" cy="4257675"/>
            <wp:effectExtent l="0" t="0" r="17145" b="9525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673" cy="4266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Variant2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Task3</w:t>
      </w:r>
    </w:p>
    <w:p>
      <w:r>
        <w:rPr>
          <w:rFonts w:hint="eastAsia"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货币的时间价值以及所使用的项目评估方法</w:t>
      </w:r>
    </w:p>
    <w:p>
      <w:r>
        <w:rPr>
          <w:rFonts w:hint="eastAsia"/>
        </w:rPr>
        <w:t>将货币的时间价值纳入投资评估决策，需要考虑两个因素。</w:t>
      </w:r>
      <w:r>
        <w:t>首先，任何投资都涉及承诺募集的资金，并且实体</w:t>
      </w:r>
      <w:r>
        <w:rPr>
          <w:rFonts w:hint="eastAsia"/>
        </w:rPr>
        <w:t>将</w:t>
      </w:r>
      <w:r>
        <w:t>承担</w:t>
      </w:r>
      <w:r>
        <w:rPr>
          <w:rFonts w:hint="eastAsia"/>
        </w:rPr>
        <w:t>融资</w:t>
      </w:r>
      <w:r>
        <w:t>费用。通常应该考虑</w:t>
      </w:r>
      <w:r>
        <w:rPr>
          <w:rFonts w:hint="eastAsia"/>
        </w:rPr>
        <w:t>到这项融资</w:t>
      </w:r>
      <w:r>
        <w:t>成本。这些</w:t>
      </w:r>
      <w:r>
        <w:rPr>
          <w:rFonts w:hint="eastAsia"/>
        </w:rPr>
        <w:t>项目</w:t>
      </w:r>
      <w:r>
        <w:t>相对短期，因此与长期投资相比，资本成本对评估的影响较小，但也应牢记Jord将</w:t>
      </w:r>
      <w:r>
        <w:rPr>
          <w:rFonts w:hint="eastAsia"/>
        </w:rPr>
        <w:t>实施大规模</w:t>
      </w:r>
      <w:r>
        <w:t>投资。</w:t>
      </w:r>
      <w:r>
        <w:rPr>
          <w:rFonts w:hint="eastAsia"/>
        </w:rPr>
        <w:t>C</w:t>
      </w:r>
      <w:r>
        <w:t>$700万元是一笔巨大支出。</w:t>
      </w:r>
    </w:p>
    <w:p>
      <w:r>
        <w:rPr>
          <w:rFonts w:hint="eastAsia"/>
        </w:rPr>
        <w:t>货币的时间价值涉及的另一个事实是风险。</w:t>
      </w:r>
      <w:r>
        <w:t>除了</w:t>
      </w:r>
      <w:r>
        <w:rPr>
          <w:rFonts w:hint="eastAsia"/>
        </w:rPr>
        <w:t>资金</w:t>
      </w:r>
      <w:r>
        <w:t>成本</w:t>
      </w:r>
      <w:r>
        <w:rPr>
          <w:rFonts w:hint="eastAsia"/>
        </w:rPr>
        <w:t>之外</w:t>
      </w:r>
      <w:r>
        <w:t>，实体还承担了项目可能失败的风险。使用</w:t>
      </w:r>
      <w:r>
        <w:rPr>
          <w:rFonts w:hint="eastAsia"/>
        </w:rPr>
        <w:t>货币</w:t>
      </w:r>
      <w:r>
        <w:t>的时间价值</w:t>
      </w:r>
      <w:r>
        <w:rPr>
          <w:rFonts w:hint="eastAsia"/>
        </w:rPr>
        <w:t>来</w:t>
      </w:r>
      <w:r>
        <w:t>评估项目，可以深入了解预期收益是否足以证明正</w:t>
      </w:r>
      <w:r>
        <w:rPr>
          <w:rFonts w:hint="eastAsia"/>
        </w:rPr>
        <w:t>在</w:t>
      </w:r>
      <w:r>
        <w:t>承担的风险</w:t>
      </w:r>
      <w:r>
        <w:rPr>
          <w:rFonts w:hint="eastAsia"/>
        </w:rPr>
        <w:t>是合理的</w:t>
      </w:r>
      <w:r>
        <w:t>。</w:t>
      </w:r>
    </w:p>
    <w:p>
      <w:r>
        <w:rPr>
          <w:rFonts w:hint="eastAsia"/>
        </w:rPr>
        <w:t>基于货币时间价值的主要衡量标准是净现值（</w:t>
      </w:r>
      <w:r>
        <w:t>NPV），其优点是将项目的预期结果与项目对股东财富的影响联系起来。根据</w:t>
      </w:r>
      <w:r>
        <w:rPr>
          <w:rFonts w:hint="eastAsia"/>
        </w:rPr>
        <w:t>这个表格</w:t>
      </w:r>
      <w:r>
        <w:t>，考虑到资本成本和风险，接受该项目</w:t>
      </w:r>
      <w:r>
        <w:rPr>
          <w:rFonts w:hint="eastAsia"/>
        </w:rPr>
        <w:t>一期</w:t>
      </w:r>
      <w:r>
        <w:t>将使股东财富增加</w:t>
      </w:r>
      <w:r>
        <w:rPr>
          <w:rFonts w:hint="eastAsia"/>
        </w:rPr>
        <w:t>C</w:t>
      </w:r>
      <w:r>
        <w:t>$250.1万元。</w:t>
      </w:r>
    </w:p>
    <w:p>
      <w:r>
        <w:rPr>
          <w:rFonts w:hint="eastAsia"/>
        </w:rPr>
        <w:t>内部收益率（</w:t>
      </w:r>
      <w:r>
        <w:t>IRR）衡量从项目投资中获得的收益。IRR超过要求回报率的任何项目的NPV都将为正。这意味着Jord应该接受</w:t>
      </w:r>
      <w:r>
        <w:rPr>
          <w:rFonts w:hint="eastAsia"/>
        </w:rPr>
        <w:t>项目一期</w:t>
      </w:r>
      <w:r>
        <w:t>，因为它提供了35％的投资回报，而公司只需要10％的</w:t>
      </w:r>
      <w:r>
        <w:rPr>
          <w:rFonts w:hint="eastAsia"/>
        </w:rPr>
        <w:t>回报</w:t>
      </w:r>
      <w:r>
        <w:t>即可</w:t>
      </w:r>
      <w:r>
        <w:rPr>
          <w:rFonts w:hint="eastAsia"/>
        </w:rPr>
        <w:t>抵消</w:t>
      </w:r>
      <w:r>
        <w:t>资本成本和风险。如此高的投资回报率前景也可能有助于股东理解接受</w:t>
      </w:r>
      <w:r>
        <w:rPr>
          <w:rFonts w:hint="eastAsia"/>
        </w:rPr>
        <w:t>这个投资</w:t>
      </w:r>
      <w:r>
        <w:t>项目的优点。</w:t>
      </w:r>
    </w:p>
    <w:p>
      <w:r>
        <w:rPr>
          <w:rFonts w:hint="eastAsia"/>
        </w:rPr>
        <w:t>折现回收期更难评估。理论上，它告诉我们：如果</w:t>
      </w:r>
      <w:r>
        <w:t>Jord</w:t>
      </w:r>
      <w:r>
        <w:rPr>
          <w:rFonts w:hint="eastAsia"/>
        </w:rPr>
        <w:t>参与项目一期</w:t>
      </w:r>
      <w:r>
        <w:t>，将占用</w:t>
      </w:r>
      <w:r>
        <w:rPr>
          <w:rFonts w:hint="eastAsia"/>
        </w:rPr>
        <w:t>为期</w:t>
      </w:r>
      <w:r>
        <w:t>1.5年的资金。这可能有助于对现金流量进行战略预测，</w:t>
      </w:r>
      <w:r>
        <w:rPr>
          <w:rFonts w:hint="eastAsia"/>
        </w:rPr>
        <w:t>考虑是否</w:t>
      </w:r>
      <w:r>
        <w:t>需要为其他项目</w:t>
      </w:r>
      <w:r>
        <w:rPr>
          <w:rFonts w:hint="eastAsia"/>
        </w:rPr>
        <w:t>或总体扩张筹措资金</w:t>
      </w:r>
      <w:r>
        <w:t>。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Vors</w:t>
      </w:r>
      <w:r>
        <w:rPr>
          <w:b/>
          <w:bCs/>
        </w:rPr>
        <w:t>an</w:t>
      </w:r>
      <w:r>
        <w:rPr>
          <w:rFonts w:hint="eastAsia"/>
          <w:b/>
          <w:bCs/>
        </w:rPr>
        <w:t>项目的会计处理</w:t>
      </w:r>
    </w:p>
    <w:p>
      <w:r>
        <w:rPr>
          <w:rFonts w:hint="eastAsia"/>
        </w:rPr>
        <w:t>您注意到，C</w:t>
      </w:r>
      <w:r>
        <w:t>arla</w:t>
      </w:r>
      <w:r>
        <w:rPr>
          <w:rFonts w:hint="eastAsia"/>
        </w:rPr>
        <w:t>在电子表格中并未特别提及“营业收入”，这一点完全正确。这实际上包括在“现金流入”类别中。</w:t>
      </w:r>
    </w:p>
    <w:p>
      <w:r>
        <w:t>Jord的正常业务</w:t>
      </w:r>
      <w:r>
        <w:rPr>
          <w:rFonts w:hint="eastAsia"/>
        </w:rPr>
        <w:t>是</w:t>
      </w:r>
      <w:r>
        <w:t>为个人客户建造预制房屋</w:t>
      </w:r>
      <w:r>
        <w:rPr>
          <w:rFonts w:hint="eastAsia"/>
        </w:rPr>
        <w:t>，</w:t>
      </w:r>
      <w:r>
        <w:t>与大多数企业的活动保持一致，因为我们的成本和</w:t>
      </w:r>
      <w:r>
        <w:rPr>
          <w:rFonts w:hint="eastAsia"/>
        </w:rPr>
        <w:t>营业</w:t>
      </w:r>
      <w:r>
        <w:t>收入在发生时记入损益表。但是，</w:t>
      </w:r>
      <w:r>
        <w:rPr>
          <w:rFonts w:hint="eastAsia"/>
        </w:rPr>
        <w:t>这个</w:t>
      </w:r>
      <w:r>
        <w:t>项目可能需要</w:t>
      </w:r>
      <w:r>
        <w:rPr>
          <w:rFonts w:hint="eastAsia"/>
        </w:rPr>
        <w:t>采用</w:t>
      </w:r>
      <w:r>
        <w:t>替代</w:t>
      </w:r>
      <w:r>
        <w:rPr>
          <w:rFonts w:hint="eastAsia"/>
        </w:rPr>
        <w:t>方案</w:t>
      </w:r>
      <w:r>
        <w:t>。这是因为成本和</w:t>
      </w:r>
      <w:r>
        <w:rPr>
          <w:rFonts w:hint="eastAsia"/>
        </w:rPr>
        <w:t>营业</w:t>
      </w:r>
      <w:r>
        <w:t>收入不会总是在同一会计期间内发生。</w:t>
      </w:r>
    </w:p>
    <w:p>
      <w:r>
        <w:rPr>
          <w:rFonts w:hint="eastAsia"/>
        </w:rPr>
        <w:t>对于为</w:t>
      </w:r>
      <w:r>
        <w:t>Vorsan项目的交付</w:t>
      </w:r>
      <w:r>
        <w:rPr>
          <w:rFonts w:hint="eastAsia"/>
        </w:rPr>
        <w:t>进行会计核算</w:t>
      </w:r>
      <w:r>
        <w:t>，我们需要考虑</w:t>
      </w:r>
      <w:r>
        <w:rPr>
          <w:rFonts w:hint="eastAsia"/>
        </w:rPr>
        <w:t>采用《国际财务报告准则第1</w:t>
      </w:r>
      <w:r>
        <w:t>5</w:t>
      </w:r>
      <w:r>
        <w:rPr>
          <w:rFonts w:hint="eastAsia"/>
        </w:rPr>
        <w:t>号——</w:t>
      </w:r>
      <w:r>
        <w:t>客户合同收入</w:t>
      </w:r>
      <w:r>
        <w:rPr>
          <w:rFonts w:hint="eastAsia"/>
        </w:rPr>
        <w:t>》（I</w:t>
      </w:r>
      <w:r>
        <w:t>FRS 15</w:t>
      </w:r>
      <w:r>
        <w:rPr>
          <w:rFonts w:hint="eastAsia"/>
        </w:rPr>
        <w:t>）</w:t>
      </w:r>
      <w:r>
        <w:t>（</w:t>
      </w:r>
      <w:r>
        <w:rPr>
          <w:rFonts w:hint="eastAsia"/>
        </w:rPr>
        <w:t>之前隶属于</w:t>
      </w:r>
      <w:r>
        <w:t>IAS 18），确定我们如何核算在Vorsan高尔夫度假村中获得的</w:t>
      </w:r>
      <w:r>
        <w:rPr>
          <w:rFonts w:hint="eastAsia"/>
        </w:rPr>
        <w:t>营业</w:t>
      </w:r>
      <w:r>
        <w:t>收入项目，确保财务报表反映出与实际情况尽可能接近的状况，以匹配的概念为</w:t>
      </w:r>
      <w:r>
        <w:rPr>
          <w:rFonts w:hint="eastAsia"/>
        </w:rPr>
        <w:t>引导</w:t>
      </w:r>
      <w:r>
        <w:t>。</w:t>
      </w:r>
    </w:p>
    <w:p>
      <w:r>
        <w:rPr>
          <w:rFonts w:hint="eastAsia"/>
        </w:rPr>
        <w:t>这个项目的性质可能与我们大多数定制房屋建设项目不同，因为它将跨越多个会计期间。在大多数情况下，对于交付定制房屋，我们将在签订合同时收取预付款，作为定金，并将在当时在财务状况表中计为负债。之后，成本和营业收入将在发生期间计入。</w:t>
      </w:r>
    </w:p>
    <w:p>
      <w:r>
        <w:rPr>
          <w:rFonts w:hint="eastAsia"/>
        </w:rPr>
        <w:t>在某种程度上，我们的房屋制造业务中目前发生收入确认问题，但程度要比这个合同小得多。因此，</w:t>
      </w:r>
      <w:r>
        <w:t>Vorsan项目的会计问题</w:t>
      </w:r>
      <w:r>
        <w:rPr>
          <w:rFonts w:hint="eastAsia"/>
        </w:rPr>
        <w:t>在于：</w:t>
      </w:r>
      <w:r>
        <w:t>与长期合同相关的</w:t>
      </w:r>
      <w:r>
        <w:rPr>
          <w:rFonts w:hint="eastAsia"/>
        </w:rPr>
        <w:t>营业</w:t>
      </w:r>
      <w:r>
        <w:t>收入和成本应</w:t>
      </w:r>
      <w:r>
        <w:rPr>
          <w:rFonts w:hint="eastAsia"/>
        </w:rPr>
        <w:t>该何时确认</w:t>
      </w:r>
      <w:r>
        <w:t>。就Vorsan项目的会计处理而言，如果我们能够可靠地估计合同的结果，则应参考报告日合同活动的完成阶段，在收益表中确认</w:t>
      </w:r>
      <w:r>
        <w:rPr>
          <w:rFonts w:hint="eastAsia"/>
        </w:rPr>
        <w:t>营业</w:t>
      </w:r>
      <w:r>
        <w:t>收入和成本。但是，要满足</w:t>
      </w:r>
      <w:r>
        <w:rPr>
          <w:rFonts w:hint="eastAsia"/>
        </w:rPr>
        <w:t>这项</w:t>
      </w:r>
      <w:r>
        <w:t>要求，我们必须满足以下条件：首先，</w:t>
      </w:r>
      <w:r>
        <w:rPr>
          <w:rFonts w:hint="eastAsia"/>
        </w:rPr>
        <w:t>营业</w:t>
      </w:r>
      <w:r>
        <w:t>收入金额可以可靠计量；其次，经济利益很可能流向我们；第三，可以可靠地计量资产负债表日的完成阶段</w:t>
      </w:r>
      <w:r>
        <w:rPr>
          <w:rFonts w:hint="eastAsia"/>
        </w:rPr>
        <w:t>；</w:t>
      </w:r>
      <w:r>
        <w:t>第四，可以可靠地计量</w:t>
      </w:r>
      <w:r>
        <w:rPr>
          <w:rFonts w:hint="eastAsia"/>
        </w:rPr>
        <w:t>这个</w:t>
      </w:r>
      <w:r>
        <w:t>项目已发生或将要发生的成本。</w:t>
      </w:r>
    </w:p>
    <w:p>
      <w:r>
        <w:rPr>
          <w:rFonts w:hint="eastAsia"/>
        </w:rPr>
        <w:t>项目一期可能带来的问题较少，我们应该能够简单地将营业收入记为合同总收入×完成百分比，销售成本为“预期合同总费用×完成百分比”，毛利润记为“预期总利润</w:t>
      </w:r>
      <w:r>
        <w:t>×完成百分比”。</w:t>
      </w:r>
    </w:p>
    <w:p>
      <w:r>
        <w:rPr>
          <w:rFonts w:hint="eastAsia"/>
        </w:rPr>
        <w:t>这应有助于确保在财务报表中公平反映项目的当前盈利能力。</w:t>
      </w:r>
    </w:p>
    <w:p>
      <w:r>
        <w:rPr>
          <w:rFonts w:hint="eastAsia"/>
        </w:rPr>
        <w:t>目前，项目二期取决于我们无法控制的因素，因此，在确定将要发生这个项目之前，应审慎地避免确认项目的这个阶段。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21A45"/>
    <w:rsid w:val="001B6CBA"/>
    <w:rsid w:val="002A0CE5"/>
    <w:rsid w:val="003D2233"/>
    <w:rsid w:val="00425453"/>
    <w:rsid w:val="004C3398"/>
    <w:rsid w:val="00521338"/>
    <w:rsid w:val="00615D04"/>
    <w:rsid w:val="00713ED1"/>
    <w:rsid w:val="007417F0"/>
    <w:rsid w:val="008B5BA8"/>
    <w:rsid w:val="008E7913"/>
    <w:rsid w:val="00935312"/>
    <w:rsid w:val="00954D0B"/>
    <w:rsid w:val="009C5133"/>
    <w:rsid w:val="00A00B84"/>
    <w:rsid w:val="00AD6C18"/>
    <w:rsid w:val="00B40610"/>
    <w:rsid w:val="00C17A0F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0165D34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3FC0DF7"/>
    <w:rsid w:val="7591145F"/>
    <w:rsid w:val="76893E6D"/>
    <w:rsid w:val="76DC7D4A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256</Words>
  <Characters>1265</Characters>
  <Lines>21</Lines>
  <Paragraphs>24</Paragraphs>
  <TotalTime>0</TotalTime>
  <ScaleCrop>false</ScaleCrop>
  <LinksUpToDate>false</LinksUpToDate>
  <CharactersWithSpaces>1497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2020-04-29T13:17:00Z</dcterms:created>
  <dc:creator>张钧鸿</dc:creator>
  <cp:lastModifiedBy>公子洲</cp:lastModifiedBy>
  <dcterms:modified xsi:type="dcterms:W3CDTF">2020-04-30T23:53:55Z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