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1"/>
        <w:numPr>
          <w:ilvl w:val="0"/>
          <w:numId w:val="1"/>
        </w:numPr>
        <w:jc w:val="both"/>
        <w:rPr>
          <w:rFonts w:ascii="微软雅黑" w:hAnsi="微软雅黑" w:eastAsia="微软雅黑" w:cs="Arial"/>
          <w:color w:val="000000" w:themeColor="text1"/>
          <w:sz w:val="22"/>
          <w:szCs w:val="22"/>
          <w14:textFill>
            <w14:solidFill>
              <w14:schemeClr w14:val="tx1"/>
            </w14:solidFill>
          </w14:textFill>
        </w:rPr>
      </w:pPr>
      <w:r>
        <w:rPr>
          <w:rFonts w:ascii="微软雅黑" w:hAnsi="微软雅黑" w:eastAsia="微软雅黑" w:cs="Arial"/>
          <w:color w:val="000000" w:themeColor="text1"/>
          <w:sz w:val="22"/>
          <w:szCs w:val="22"/>
          <w14:textFill>
            <w14:solidFill>
              <w14:schemeClr w14:val="tx1"/>
            </w14:solidFill>
          </w14:textFill>
        </w:rPr>
        <w:t>2019</w:t>
      </w:r>
      <w:r>
        <w:rPr>
          <w:rFonts w:hint="eastAsia" w:ascii="微软雅黑" w:hAnsi="微软雅黑" w:eastAsia="微软雅黑" w:cs="Arial"/>
          <w:color w:val="000000" w:themeColor="text1"/>
          <w:sz w:val="22"/>
          <w:szCs w:val="22"/>
          <w14:textFill>
            <w14:solidFill>
              <w14:schemeClr w14:val="tx1"/>
            </w14:solidFill>
          </w14:textFill>
        </w:rPr>
        <w:t>年</w:t>
      </w:r>
      <w:r>
        <w:rPr>
          <w:rFonts w:ascii="微软雅黑" w:hAnsi="微软雅黑" w:eastAsia="微软雅黑" w:cs="Arial"/>
          <w:color w:val="000000" w:themeColor="text1"/>
          <w:sz w:val="22"/>
          <w:szCs w:val="22"/>
          <w14:textFill>
            <w14:solidFill>
              <w14:schemeClr w14:val="tx1"/>
            </w14:solidFill>
          </w14:textFill>
        </w:rPr>
        <w:t>5</w:t>
      </w:r>
      <w:r>
        <w:rPr>
          <w:rFonts w:hint="eastAsia" w:ascii="微软雅黑" w:hAnsi="微软雅黑" w:eastAsia="微软雅黑" w:cs="Arial"/>
          <w:color w:val="000000" w:themeColor="text1"/>
          <w:sz w:val="22"/>
          <w:szCs w:val="22"/>
          <w14:textFill>
            <w14:solidFill>
              <w14:schemeClr w14:val="tx1"/>
            </w14:solidFill>
          </w14:textFill>
        </w:rPr>
        <w:t>月考试版本</w:t>
      </w:r>
      <w:r>
        <w:rPr>
          <w:rFonts w:ascii="微软雅黑" w:hAnsi="微软雅黑" w:eastAsia="微软雅黑" w:cs="Arial"/>
          <w:color w:val="000000" w:themeColor="text1"/>
          <w:sz w:val="22"/>
          <w:szCs w:val="22"/>
          <w14:textFill>
            <w14:solidFill>
              <w14:schemeClr w14:val="tx1"/>
            </w14:solidFill>
          </w14:textFill>
        </w:rPr>
        <w:t>1</w:t>
      </w:r>
      <w:r>
        <w:rPr>
          <w:rFonts w:hint="eastAsia" w:ascii="微软雅黑" w:hAnsi="微软雅黑" w:eastAsia="微软雅黑" w:cs="Arial"/>
          <w:color w:val="000000" w:themeColor="text1"/>
          <w:sz w:val="22"/>
          <w:szCs w:val="22"/>
          <w14:textFill>
            <w14:solidFill>
              <w14:schemeClr w14:val="tx1"/>
            </w14:solidFill>
          </w14:textFill>
        </w:rPr>
        <w:t>：</w:t>
      </w:r>
    </w:p>
    <w:p>
      <w:pPr>
        <w:pStyle w:val="2"/>
        <w:spacing w:before="0"/>
        <w:ind w:left="0"/>
        <w:jc w:val="center"/>
        <w:rPr>
          <w:rFonts w:cs="Arial"/>
          <w:color w:val="000000" w:themeColor="text1"/>
          <w:sz w:val="24"/>
          <w:szCs w:val="24"/>
          <w14:textFill>
            <w14:solidFill>
              <w14:schemeClr w14:val="tx1"/>
            </w14:solidFill>
          </w14:textFill>
        </w:rPr>
      </w:pPr>
      <w:r>
        <w:rPr>
          <w:rFonts w:ascii="微软雅黑" w:hAnsi="微软雅黑" w:eastAsia="微软雅黑" w:cs="Arial"/>
          <w:color w:val="000000" w:themeColor="text1"/>
          <w:sz w:val="22"/>
          <w:szCs w:val="22"/>
          <w14:textFill>
            <w14:solidFill>
              <w14:schemeClr w14:val="tx1"/>
            </w14:solidFill>
          </w14:textFill>
        </w:rPr>
        <w:drawing>
          <wp:inline distT="0" distB="0" distL="0" distR="0">
            <wp:extent cx="5745480" cy="3755390"/>
            <wp:effectExtent l="0" t="0" r="7620" b="16510"/>
            <wp:docPr id="254" name="图片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图片 25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5760047" cy="3765449"/>
                    </a:xfrm>
                    <a:prstGeom prst="rect">
                      <a:avLst/>
                    </a:prstGeom>
                    <a:noFill/>
                  </pic:spPr>
                </pic:pic>
              </a:graphicData>
            </a:graphic>
          </wp:inline>
        </w:drawing>
      </w:r>
      <w:bookmarkStart w:id="0" w:name="_GoBack"/>
      <w:bookmarkEnd w:id="0"/>
    </w:p>
    <w:p>
      <w:pPr>
        <w:pStyle w:val="2"/>
        <w:spacing w:before="0"/>
        <w:ind w:left="0"/>
        <w:jc w:val="center"/>
        <w:rPr>
          <w:rFonts w:cs="Arial"/>
          <w:color w:val="000000" w:themeColor="text1"/>
          <w:sz w:val="24"/>
          <w:szCs w:val="24"/>
          <w14:textFill>
            <w14:solidFill>
              <w14:schemeClr w14:val="tx1"/>
            </w14:solidFill>
          </w14:textFill>
        </w:rPr>
      </w:pPr>
    </w:p>
    <w:p>
      <w:pPr>
        <w:pStyle w:val="2"/>
        <w:spacing w:before="0"/>
        <w:ind w:left="0"/>
        <w:jc w:val="center"/>
        <w:rPr>
          <w:rFonts w:cs="Arial"/>
          <w:color w:val="000000" w:themeColor="text1"/>
          <w:sz w:val="24"/>
          <w:szCs w:val="24"/>
          <w14:textFill>
            <w14:solidFill>
              <w14:schemeClr w14:val="tx1"/>
            </w14:solidFill>
          </w14:textFill>
        </w:rPr>
      </w:pPr>
    </w:p>
    <w:p>
      <w:pPr>
        <w:pStyle w:val="2"/>
        <w:spacing w:before="0"/>
        <w:ind w:left="0"/>
        <w:jc w:val="center"/>
        <w:rPr>
          <w:rFonts w:ascii="微软雅黑" w:hAnsi="微软雅黑" w:eastAsia="微软雅黑" w:cs="Times New Roman"/>
          <w:spacing w:val="-2"/>
          <w:sz w:val="20"/>
          <w:szCs w:val="20"/>
          <w:u w:val="thick" w:color="000000"/>
          <w:lang w:eastAsia="zh-CN"/>
        </w:rPr>
      </w:pPr>
      <w:r>
        <w:rPr>
          <w:rFonts w:ascii="微软雅黑" w:hAnsi="微软雅黑" w:eastAsia="微软雅黑" w:cs="Times New Roman"/>
          <w:spacing w:val="-2"/>
          <w:sz w:val="20"/>
          <w:szCs w:val="20"/>
          <w:u w:val="thick" w:color="000000"/>
          <w:lang w:eastAsia="zh-CN"/>
        </w:rPr>
        <w:t xml:space="preserve">MANAGEMENT CASE STUDY </w:t>
      </w:r>
      <w:r>
        <w:rPr>
          <w:rFonts w:hint="eastAsia" w:ascii="微软雅黑" w:hAnsi="微软雅黑" w:eastAsia="微软雅黑" w:cs="Times New Roman"/>
          <w:spacing w:val="-2"/>
          <w:sz w:val="20"/>
          <w:szCs w:val="20"/>
          <w:u w:val="thick" w:color="000000"/>
          <w:lang w:eastAsia="zh-CN"/>
        </w:rPr>
        <w:t>MAY</w:t>
      </w:r>
      <w:r>
        <w:rPr>
          <w:rFonts w:ascii="微软雅黑" w:hAnsi="微软雅黑" w:eastAsia="微软雅黑" w:cs="Times New Roman"/>
          <w:spacing w:val="-2"/>
          <w:sz w:val="20"/>
          <w:szCs w:val="20"/>
          <w:u w:val="thick" w:color="000000"/>
          <w:lang w:eastAsia="zh-CN"/>
        </w:rPr>
        <w:t xml:space="preserve"> 2019 EXAM ANSWERS</w:t>
      </w:r>
    </w:p>
    <w:p>
      <w:pPr>
        <w:pStyle w:val="2"/>
        <w:spacing w:before="0"/>
        <w:ind w:left="0"/>
        <w:jc w:val="center"/>
        <w:rPr>
          <w:rFonts w:ascii="微软雅黑" w:hAnsi="微软雅黑" w:eastAsia="微软雅黑" w:cs="Times New Roman"/>
          <w:spacing w:val="-2"/>
          <w:sz w:val="20"/>
          <w:szCs w:val="20"/>
          <w:u w:val="thick" w:color="000000"/>
          <w:lang w:eastAsia="zh-CN"/>
        </w:rPr>
      </w:pPr>
      <w:r>
        <w:rPr>
          <w:rFonts w:ascii="微软雅黑" w:hAnsi="微软雅黑" w:eastAsia="微软雅黑" w:cs="Times New Roman"/>
          <w:spacing w:val="-2"/>
          <w:sz w:val="20"/>
          <w:szCs w:val="20"/>
          <w:u w:val="thick" w:color="000000"/>
          <w:lang w:eastAsia="zh-CN"/>
        </w:rPr>
        <mc:AlternateContent>
          <mc:Choice Requires="wps">
            <w:drawing>
              <wp:anchor distT="45720" distB="45720" distL="114300" distR="114300" simplePos="0" relativeHeight="251659264" behindDoc="1" locked="0" layoutInCell="1" allowOverlap="1">
                <wp:simplePos x="0" y="0"/>
                <wp:positionH relativeFrom="margin">
                  <wp:align>right</wp:align>
                </wp:positionH>
                <wp:positionV relativeFrom="paragraph">
                  <wp:posOffset>485140</wp:posOffset>
                </wp:positionV>
                <wp:extent cx="5238750" cy="1555750"/>
                <wp:effectExtent l="0" t="0" r="19050" b="25400"/>
                <wp:wrapTight wrapText="bothSides">
                  <wp:wrapPolygon>
                    <wp:start x="0" y="0"/>
                    <wp:lineTo x="0" y="21688"/>
                    <wp:lineTo x="21600" y="21688"/>
                    <wp:lineTo x="21600" y="0"/>
                    <wp:lineTo x="0" y="0"/>
                  </wp:wrapPolygon>
                </wp:wrapTight>
                <wp:docPr id="21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5238750" cy="1555750"/>
                        </a:xfrm>
                        <a:prstGeom prst="rect">
                          <a:avLst/>
                        </a:prstGeom>
                        <a:solidFill>
                          <a:srgbClr val="FFFFFF"/>
                        </a:solidFill>
                        <a:ln w="9525">
                          <a:solidFill>
                            <a:srgbClr val="000000"/>
                          </a:solidFill>
                          <a:miter lim="800000"/>
                        </a:ln>
                      </wps:spPr>
                      <wps:txbx>
                        <w:txbxContent>
                          <w:p>
                            <w:pPr>
                              <w:rPr>
                                <w:b/>
                                <w:bCs/>
                                <w:i/>
                                <w:iCs/>
                              </w:rPr>
                            </w:pPr>
                            <w:r>
                              <w:rPr>
                                <w:b/>
                                <w:bCs/>
                                <w:i/>
                                <w:iCs/>
                              </w:rPr>
                              <w:t>These answers have been provided by CIMA for information purposes only. The answers created are indicative of a response that could be given by a good candidate. They are not to be considered exhaustive, and other appropriate relevant responses would receive credit.</w:t>
                            </w:r>
                          </w:p>
                          <w:p>
                            <w:pPr>
                              <w:rPr>
                                <w:b/>
                                <w:bCs/>
                                <w:i/>
                                <w:iCs/>
                              </w:rPr>
                            </w:pPr>
                          </w:p>
                          <w:p>
                            <w:pPr>
                              <w:rPr>
                                <w:b/>
                                <w:bCs/>
                                <w:i/>
                                <w:iCs/>
                              </w:rPr>
                            </w:pPr>
                            <w:r>
                              <w:rPr>
                                <w:b/>
                                <w:bCs/>
                                <w:i/>
                                <w:iCs/>
                              </w:rPr>
                              <w:t>CIMA will not accept challenges to these answers on the basis of academic judgement.</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top:38.2pt;height:122.5pt;width:412.5pt;mso-position-horizontal:right;mso-position-horizontal-relative:margin;mso-wrap-distance-left:9pt;mso-wrap-distance-right:9pt;z-index:-251657216;mso-width-relative:page;mso-height-relative:page;" fillcolor="#FFFFFF" filled="t" stroked="t" coordsize="21600,21600" wrapcoords="0 0 0 21688 21600 21688 21600 0 0 0" o:gfxdata="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MZocNtcAAAAH&#10;AQAADwAAAAAAAAABACAAAAAiAAAAZHJzL2Rvd25yZXYueG1sUEsBAhQAFAAAAAgAh07iQBdcuKsd&#10;AgAAMAQAAA4AAAAAAAAAAQAgAAAAJgEAAGRycy9lMm9Eb2MueG1sUEsFBgAAAAAGAAYAWQEAALUF&#10;AAAAAA==&#10;">
                <v:fill on="t" focussize="0,0"/>
                <v:stroke color="#000000" miterlimit="8" joinstyle="miter"/>
                <v:imagedata o:title=""/>
                <o:lock v:ext="edit" aspectratio="f"/>
                <v:textbox>
                  <w:txbxContent>
                    <w:p>
                      <w:pPr>
                        <w:rPr>
                          <w:b/>
                          <w:bCs/>
                          <w:i/>
                          <w:iCs/>
                        </w:rPr>
                      </w:pPr>
                      <w:r>
                        <w:rPr>
                          <w:b/>
                          <w:bCs/>
                          <w:i/>
                          <w:iCs/>
                        </w:rPr>
                        <w:t>These answers have been provided by CIMA for information purposes only. The answers created are indicative of a response that could be given by a good candidate. They are not to be considered exhaustive, and other appropriate relevant responses would receive credit.</w:t>
                      </w:r>
                    </w:p>
                    <w:p>
                      <w:pPr>
                        <w:rPr>
                          <w:b/>
                          <w:bCs/>
                          <w:i/>
                          <w:iCs/>
                        </w:rPr>
                      </w:pPr>
                    </w:p>
                    <w:p>
                      <w:pPr>
                        <w:rPr>
                          <w:b/>
                          <w:bCs/>
                          <w:i/>
                          <w:iCs/>
                        </w:rPr>
                      </w:pPr>
                      <w:r>
                        <w:rPr>
                          <w:b/>
                          <w:bCs/>
                          <w:i/>
                          <w:iCs/>
                        </w:rPr>
                        <w:t>CIMA will not accept challenges to these answers on the basis of academic judgement.</w:t>
                      </w:r>
                    </w:p>
                  </w:txbxContent>
                </v:textbox>
                <w10:wrap type="tight"/>
              </v:shape>
            </w:pict>
          </mc:Fallback>
        </mc:AlternateContent>
      </w:r>
      <w:r>
        <w:rPr>
          <w:rFonts w:hint="eastAsia" w:ascii="微软雅黑" w:hAnsi="微软雅黑" w:eastAsia="微软雅黑" w:cs="Times New Roman"/>
          <w:spacing w:val="-2"/>
          <w:sz w:val="20"/>
          <w:szCs w:val="20"/>
          <w:u w:val="thick" w:color="000000"/>
          <w:lang w:eastAsia="zh-CN"/>
        </w:rPr>
        <w:t>Variant1</w:t>
      </w:r>
      <w:r>
        <w:rPr>
          <w:rFonts w:ascii="微软雅黑" w:hAnsi="微软雅黑" w:eastAsia="微软雅黑" w:cs="Times New Roman"/>
          <w:spacing w:val="-2"/>
          <w:sz w:val="20"/>
          <w:szCs w:val="20"/>
          <w:u w:val="thick" w:color="000000"/>
          <w:lang w:eastAsia="zh-CN"/>
        </w:rPr>
        <w:t xml:space="preserve"> </w:t>
      </w:r>
      <w:r>
        <w:rPr>
          <w:rFonts w:hint="eastAsia" w:ascii="微软雅黑" w:hAnsi="微软雅黑" w:eastAsia="微软雅黑" w:cs="Times New Roman"/>
          <w:spacing w:val="-2"/>
          <w:sz w:val="20"/>
          <w:szCs w:val="20"/>
          <w:u w:val="thick" w:color="000000"/>
          <w:lang w:eastAsia="zh-CN"/>
        </w:rPr>
        <w:t>Task4</w:t>
      </w:r>
    </w:p>
    <w:p>
      <w:pPr>
        <w:pStyle w:val="2"/>
        <w:spacing w:before="0"/>
        <w:ind w:left="0"/>
        <w:jc w:val="center"/>
        <w:rPr>
          <w:rFonts w:ascii="微软雅黑" w:hAnsi="微软雅黑" w:eastAsia="微软雅黑" w:cs="Times New Roman"/>
          <w:spacing w:val="-2"/>
          <w:sz w:val="20"/>
          <w:szCs w:val="20"/>
          <w:u w:val="thick" w:color="000000"/>
          <w:lang w:eastAsia="zh-CN"/>
        </w:rPr>
      </w:pPr>
    </w:p>
    <w:p/>
    <w:p/>
    <w:p>
      <w:r>
        <w:br w:type="page"/>
      </w:r>
    </w:p>
    <w:p>
      <w:r>
        <w:rPr>
          <w:rFonts w:hint="eastAsia"/>
        </w:rPr>
        <w:t>需要在财务状况表中将租赁资产及其相关负债资本化，由《国际财务报告准则第</w:t>
      </w:r>
      <w:r>
        <w:t>16号——租赁》</w:t>
      </w:r>
      <w:r>
        <w:rPr>
          <w:rFonts w:hint="eastAsia"/>
        </w:rPr>
        <w:t>加以管辖，《国际财务报告准则第</w:t>
      </w:r>
      <w:r>
        <w:t>16号——租赁》</w:t>
      </w:r>
      <w:r>
        <w:rPr>
          <w:rFonts w:hint="eastAsia"/>
        </w:rPr>
        <w:t>对</w:t>
      </w:r>
      <w:r>
        <w:t>2019年1月1日或之后开始的会计期间生效，</w:t>
      </w:r>
      <w:r>
        <w:rPr>
          <w:rFonts w:hint="eastAsia"/>
        </w:rPr>
        <w:t>因此</w:t>
      </w:r>
      <w:r>
        <w:t>与Jord</w:t>
      </w:r>
      <w:r>
        <w:rPr>
          <w:rFonts w:hint="eastAsia"/>
        </w:rPr>
        <w:t>公司</w:t>
      </w:r>
      <w:r>
        <w:t>有关。</w:t>
      </w:r>
    </w:p>
    <w:p>
      <w:r>
        <w:rPr>
          <w:rFonts w:hint="eastAsia"/>
        </w:rPr>
        <w:t>《国际财务报告准则第</w:t>
      </w:r>
      <w:r>
        <w:t>16号</w:t>
      </w:r>
      <w:r>
        <w:rPr>
          <w:rFonts w:hint="eastAsia"/>
        </w:rPr>
        <w:t>》</w:t>
      </w:r>
      <w:r>
        <w:t>要求租赁根据其经济实质而非法律形式入账。Jord</w:t>
      </w:r>
      <w:r>
        <w:rPr>
          <w:rFonts w:hint="eastAsia"/>
        </w:rPr>
        <w:t>公司</w:t>
      </w:r>
      <w:r>
        <w:t>在法律上不会拥有这些资产，但会在租赁期间控制这些资产。</w:t>
      </w:r>
      <w:r>
        <w:rPr>
          <w:rFonts w:hint="eastAsia"/>
        </w:rPr>
        <w:t>《国际财务报告准则第</w:t>
      </w:r>
      <w:r>
        <w:t>16号</w:t>
      </w:r>
      <w:r>
        <w:rPr>
          <w:rFonts w:hint="eastAsia"/>
        </w:rPr>
        <w:t>》</w:t>
      </w:r>
      <w:r>
        <w:t>要求在租赁开始时计算未来租赁付款的现值，并将该现值资本化为资产和负债。资产将出现在</w:t>
      </w:r>
      <w:r>
        <w:rPr>
          <w:rFonts w:hint="eastAsia"/>
        </w:rPr>
        <w:t>“房地产、厂房与设备”（</w:t>
      </w:r>
      <w:r>
        <w:t>PPE</w:t>
      </w:r>
      <w:r>
        <w:rPr>
          <w:rFonts w:hint="eastAsia"/>
        </w:rPr>
        <w:t>）项</w:t>
      </w:r>
      <w:r>
        <w:t>下，负债将在流动负债和非流动负债之间划分，具体取决于在12个月内还是</w:t>
      </w:r>
      <w:r>
        <w:rPr>
          <w:rFonts w:hint="eastAsia"/>
        </w:rPr>
        <w:t>1</w:t>
      </w:r>
      <w:r>
        <w:t>2</w:t>
      </w:r>
      <w:r>
        <w:rPr>
          <w:rFonts w:hint="eastAsia"/>
        </w:rPr>
        <w:t>个月</w:t>
      </w:r>
      <w:r>
        <w:t>之后到期。</w:t>
      </w:r>
    </w:p>
    <w:p>
      <w:r>
        <w:rPr>
          <w:rFonts w:hint="eastAsia"/>
        </w:rPr>
        <w:t>与以前的准则不同，《国际财务报告准则第</w:t>
      </w:r>
      <w:r>
        <w:t>16号</w:t>
      </w:r>
      <w:r>
        <w:rPr>
          <w:rFonts w:hint="eastAsia"/>
        </w:rPr>
        <w:t>》</w:t>
      </w:r>
      <w:r>
        <w:t>不允许对租赁协议的解释有任何酌处权。签订租约的事实要求将租约的资本化，资产在租约期限和资产的使用寿命中较短</w:t>
      </w:r>
      <w:r>
        <w:rPr>
          <w:rFonts w:hint="eastAsia"/>
        </w:rPr>
        <w:t>的一项</w:t>
      </w:r>
      <w:r>
        <w:t>内折旧。负债将根据租赁付款额和该负债的应计利息进行调整。以相同方式对所有租赁进行分类处理，</w:t>
      </w:r>
      <w:r>
        <w:rPr>
          <w:rFonts w:hint="eastAsia"/>
        </w:rPr>
        <w:t>是因为</w:t>
      </w:r>
      <w:r>
        <w:t>需要</w:t>
      </w:r>
      <w:r>
        <w:rPr>
          <w:rFonts w:hint="eastAsia"/>
        </w:rPr>
        <w:t>避免</w:t>
      </w:r>
      <w:r>
        <w:t>通过创造性会计</w:t>
      </w:r>
      <w:r>
        <w:rPr>
          <w:rFonts w:hint="eastAsia"/>
        </w:rPr>
        <w:t>行为</w:t>
      </w:r>
      <w:r>
        <w:t>扭曲财务报表的机会。</w:t>
      </w:r>
      <w:r>
        <w:rPr>
          <w:rFonts w:hint="eastAsia"/>
        </w:rPr>
        <w:t>以往</w:t>
      </w:r>
      <w:r>
        <w:t>，</w:t>
      </w:r>
      <w:r>
        <w:rPr>
          <w:rFonts w:hint="eastAsia"/>
        </w:rPr>
        <w:t>一些企业</w:t>
      </w:r>
      <w:r>
        <w:t>希望将其资产负债比率降至最低，</w:t>
      </w:r>
      <w:r>
        <w:rPr>
          <w:rFonts w:hint="eastAsia"/>
        </w:rPr>
        <w:t>因此对</w:t>
      </w:r>
      <w:r>
        <w:t>租赁</w:t>
      </w:r>
      <w:r>
        <w:rPr>
          <w:rFonts w:hint="eastAsia"/>
        </w:rPr>
        <w:t>错误</w:t>
      </w:r>
      <w:r>
        <w:t>分类。</w:t>
      </w:r>
      <w:r>
        <w:rPr>
          <w:rFonts w:hint="eastAsia"/>
        </w:rPr>
        <w:t>事实上</w:t>
      </w:r>
      <w:r>
        <w:t>，金融机构</w:t>
      </w:r>
      <w:r>
        <w:rPr>
          <w:rFonts w:hint="eastAsia"/>
        </w:rPr>
        <w:t>以往曾</w:t>
      </w:r>
      <w:r>
        <w:t>开发了租赁</w:t>
      </w:r>
      <w:r>
        <w:rPr>
          <w:rFonts w:hint="eastAsia"/>
        </w:rPr>
        <w:t>业务</w:t>
      </w:r>
      <w:r>
        <w:t>，旨在使公司能够操纵其财务报表并低估其负债率。</w:t>
      </w:r>
    </w:p>
    <w:p>
      <w:r>
        <w:rPr>
          <w:rFonts w:hint="eastAsia"/>
        </w:rPr>
        <w:t>如果如</w:t>
      </w:r>
      <w:r>
        <w:t>Theo希望的那样，允许Jord</w:t>
      </w:r>
      <w:r>
        <w:rPr>
          <w:rFonts w:hint="eastAsia"/>
        </w:rPr>
        <w:t>公司</w:t>
      </w:r>
      <w:r>
        <w:t>在损益表中显示租赁流，那么股东可能会误</w:t>
      </w:r>
      <w:r>
        <w:rPr>
          <w:rFonts w:hint="eastAsia"/>
        </w:rPr>
        <w:t>会</w:t>
      </w:r>
      <w:r>
        <w:t>公司的真实财务状况。未来的租赁付款将</w:t>
      </w:r>
      <w:r>
        <w:rPr>
          <w:rFonts w:hint="eastAsia"/>
        </w:rPr>
        <w:t>等于</w:t>
      </w:r>
      <w:r>
        <w:t>未来的贷款</w:t>
      </w:r>
      <w:r>
        <w:rPr>
          <w:rFonts w:hint="eastAsia"/>
        </w:rPr>
        <w:t>本金和</w:t>
      </w:r>
      <w:r>
        <w:t>利息</w:t>
      </w:r>
      <w:r>
        <w:rPr>
          <w:rFonts w:hint="eastAsia"/>
        </w:rPr>
        <w:t>付款</w:t>
      </w:r>
      <w:r>
        <w:t>。从财务状况表中</w:t>
      </w:r>
      <w:r>
        <w:rPr>
          <w:rFonts w:hint="eastAsia"/>
        </w:rPr>
        <w:t>去除此类</w:t>
      </w:r>
      <w:r>
        <w:t>付款的现值</w:t>
      </w:r>
      <w:r>
        <w:rPr>
          <w:rFonts w:hint="eastAsia"/>
        </w:rPr>
        <w:t>，</w:t>
      </w:r>
      <w:r>
        <w:t>会给人</w:t>
      </w:r>
      <w:r>
        <w:rPr>
          <w:rFonts w:hint="eastAsia"/>
        </w:rPr>
        <w:t>留下高效精益企业的</w:t>
      </w:r>
      <w:r>
        <w:t>印象，几乎不会</w:t>
      </w:r>
      <w:r>
        <w:rPr>
          <w:rFonts w:hint="eastAsia"/>
        </w:rPr>
        <w:t>影响房地产、厂房与设备</w:t>
      </w:r>
      <w:r>
        <w:t>或债务。</w:t>
      </w:r>
    </w:p>
    <w:p>
      <w:pPr>
        <w:rPr>
          <w:b/>
          <w:bCs/>
        </w:rPr>
      </w:pPr>
      <w:r>
        <w:rPr>
          <w:rFonts w:hint="eastAsia"/>
          <w:b/>
          <w:bCs/>
        </w:rPr>
        <w:t>新员工沟通与培训</w:t>
      </w:r>
    </w:p>
    <w:p>
      <w:r>
        <w:rPr>
          <w:rFonts w:hint="eastAsia"/>
        </w:rPr>
        <w:t>新员工将占整体员工总数的</w:t>
      </w:r>
      <w:r>
        <w:t>15％。因此重要的是，我们应尽可能高效地</w:t>
      </w:r>
      <w:r>
        <w:rPr>
          <w:rFonts w:hint="eastAsia"/>
        </w:rPr>
        <w:t>让他们上岗</w:t>
      </w:r>
      <w:r>
        <w:t>，</w:t>
      </w:r>
      <w:r>
        <w:rPr>
          <w:rFonts w:hint="eastAsia"/>
        </w:rPr>
        <w:t>尽可能缩短入职流程</w:t>
      </w:r>
      <w:r>
        <w:t>。</w:t>
      </w:r>
      <w:r>
        <w:rPr>
          <w:rFonts w:hint="eastAsia"/>
        </w:rPr>
        <w:t>应</w:t>
      </w:r>
      <w:r>
        <w:t>让新员工尽快掌握Jord的工作方式，确保成本得到控制</w:t>
      </w:r>
      <w:r>
        <w:rPr>
          <w:rFonts w:hint="eastAsia"/>
        </w:rPr>
        <w:t>，</w:t>
      </w:r>
      <w:r>
        <w:t>并且生产进度不会受到损害。</w:t>
      </w:r>
    </w:p>
    <w:p>
      <w:r>
        <w:rPr>
          <w:rFonts w:hint="eastAsia"/>
        </w:rPr>
        <w:t>应设计新员工的培训计划，并向那些参与管理培训的员工告知要求的时间和性质。现有员工将协助培训新员工，在职指导和教学等方法也将非常有效。但是，我们之前没有开展过如此规模的培训项目，因此人力资源总监</w:t>
      </w:r>
      <w:r>
        <w:t>Eva Edberg将在确定和安排所需培训以及在必要时获取更多培训资源方面发挥关键作用。Eva将与财务部门合作，确保</w:t>
      </w:r>
      <w:r>
        <w:rPr>
          <w:rFonts w:hint="eastAsia"/>
        </w:rPr>
        <w:t>培训</w:t>
      </w:r>
      <w:r>
        <w:t>按预算</w:t>
      </w:r>
      <w:r>
        <w:rPr>
          <w:rFonts w:hint="eastAsia"/>
        </w:rPr>
        <w:t>运作</w:t>
      </w:r>
      <w:r>
        <w:t>并顺利实施。</w:t>
      </w:r>
    </w:p>
    <w:p>
      <w:r>
        <w:rPr>
          <w:rFonts w:hint="eastAsia"/>
        </w:rPr>
        <w:t>在整个过程中进行良好沟通至关重要，演示、团队会议以及通过电子邮件进行的信息交流都是确保员工在需要时拥有所需信息的有效机制。</w:t>
      </w:r>
      <w:r>
        <w:t>重要的是要营造让员工</w:t>
      </w:r>
      <w:r>
        <w:rPr>
          <w:rFonts w:hint="eastAsia"/>
        </w:rPr>
        <w:t>能够安心提问的</w:t>
      </w:r>
      <w:r>
        <w:t>氛围，因此确保高层管理人员和负责培训新员工的</w:t>
      </w:r>
      <w:r>
        <w:rPr>
          <w:rFonts w:hint="eastAsia"/>
        </w:rPr>
        <w:t>人员平易近人、</w:t>
      </w:r>
      <w:r>
        <w:t>乐于助人</w:t>
      </w:r>
      <w:r>
        <w:rPr>
          <w:rFonts w:hint="eastAsia"/>
        </w:rPr>
        <w:t>，</w:t>
      </w:r>
      <w:r>
        <w:t>是</w:t>
      </w:r>
      <w:r>
        <w:rPr>
          <w:rFonts w:hint="eastAsia"/>
        </w:rPr>
        <w:t>这个</w:t>
      </w:r>
      <w:r>
        <w:t>过程的重要组成部分。</w:t>
      </w:r>
    </w:p>
    <w:p>
      <w:pPr>
        <w:rPr>
          <w:b/>
          <w:bCs/>
        </w:rPr>
      </w:pPr>
      <w:r>
        <w:rPr>
          <w:rFonts w:hint="eastAsia"/>
          <w:b/>
          <w:bCs/>
        </w:rPr>
        <w:t>绩效指标</w:t>
      </w:r>
    </w:p>
    <w:p>
      <w:r>
        <w:rPr>
          <w:rFonts w:hint="eastAsia"/>
        </w:rPr>
        <w:t>尽管</w:t>
      </w:r>
      <w:r>
        <w:t>Jord</w:t>
      </w:r>
      <w:r>
        <w:rPr>
          <w:rFonts w:hint="eastAsia"/>
        </w:rPr>
        <w:t>公司</w:t>
      </w:r>
      <w:r>
        <w:t>可能希望在</w:t>
      </w:r>
      <w:r>
        <w:rPr>
          <w:rFonts w:hint="eastAsia"/>
        </w:rPr>
        <w:t>扩建</w:t>
      </w:r>
      <w:r>
        <w:t>后</w:t>
      </w:r>
      <w:r>
        <w:rPr>
          <w:rFonts w:hint="eastAsia"/>
        </w:rPr>
        <w:t>采用</w:t>
      </w:r>
      <w:r>
        <w:t>相同或相似的绩效指标，但短期内使用相同</w:t>
      </w:r>
      <w:r>
        <w:rPr>
          <w:rFonts w:hint="eastAsia"/>
        </w:rPr>
        <w:t>指标</w:t>
      </w:r>
      <w:r>
        <w:t>不太可能是最优</w:t>
      </w:r>
      <w:r>
        <w:rPr>
          <w:rFonts w:hint="eastAsia"/>
        </w:rPr>
        <w:t>方案</w:t>
      </w:r>
      <w:r>
        <w:t>，可能会导致员工的</w:t>
      </w:r>
      <w:r>
        <w:rPr>
          <w:rFonts w:hint="eastAsia"/>
        </w:rPr>
        <w:t>激励</w:t>
      </w:r>
      <w:r>
        <w:t>不足。</w:t>
      </w:r>
    </w:p>
    <w:p>
      <w:r>
        <w:rPr>
          <w:rFonts w:hint="eastAsia"/>
        </w:rPr>
        <w:t>随着员工习惯于在更高的新生产水平下工作，短期内效率水平可能会下降。未来</w:t>
      </w:r>
      <w:r>
        <w:t>将会有新员工进行培训，不能指望他们都能立即达到Jord的有效工作高标准。</w:t>
      </w:r>
    </w:p>
    <w:p>
      <w:r>
        <w:rPr>
          <w:rFonts w:hint="eastAsia"/>
        </w:rPr>
        <w:t>如果在绩效指标中不考虑不断变化的情况，那么新员工和老员工都将备受气馁。</w:t>
      </w:r>
    </w:p>
    <w:p>
      <w:r>
        <w:rPr>
          <w:rFonts w:hint="eastAsia"/>
        </w:rPr>
        <w:t>我们现在在两个地点中运作，这一事实也可能会对某些运营产生不利影响。</w:t>
      </w:r>
      <w:r>
        <w:t>例如，木材砍伐</w:t>
      </w:r>
      <w:r>
        <w:rPr>
          <w:rFonts w:hint="eastAsia"/>
        </w:rPr>
        <w:t>工作</w:t>
      </w:r>
      <w:r>
        <w:t>仅在一个地点</w:t>
      </w:r>
      <w:r>
        <w:rPr>
          <w:rFonts w:hint="eastAsia"/>
        </w:rPr>
        <w:t>开展</w:t>
      </w:r>
      <w:r>
        <w:t>，这意味着必须将两个地点之间的运输</w:t>
      </w:r>
      <w:r>
        <w:rPr>
          <w:rFonts w:hint="eastAsia"/>
        </w:rPr>
        <w:t>问题</w:t>
      </w:r>
      <w:r>
        <w:t>安排在工作流程中。考虑到木材</w:t>
      </w:r>
      <w:r>
        <w:rPr>
          <w:rFonts w:hint="eastAsia"/>
        </w:rPr>
        <w:t>运输</w:t>
      </w:r>
      <w:r>
        <w:t>以及</w:t>
      </w:r>
      <w:r>
        <w:rPr>
          <w:rFonts w:hint="eastAsia"/>
        </w:rPr>
        <w:t>运作</w:t>
      </w:r>
      <w:r>
        <w:t>两个地块时发生的其他变化，有必要增加从开始到结束的整个过程的标准</w:t>
      </w:r>
      <w:r>
        <w:rPr>
          <w:rFonts w:hint="eastAsia"/>
        </w:rPr>
        <w:t>周期</w:t>
      </w:r>
      <w:r>
        <w:t>时间。如果</w:t>
      </w:r>
      <w:r>
        <w:rPr>
          <w:rFonts w:hint="eastAsia"/>
        </w:rPr>
        <w:t>未能纳入</w:t>
      </w:r>
      <w:r>
        <w:t>这些</w:t>
      </w:r>
      <w:r>
        <w:rPr>
          <w:rFonts w:hint="eastAsia"/>
        </w:rPr>
        <w:t>变化</w:t>
      </w:r>
      <w:r>
        <w:t>，则会使</w:t>
      </w:r>
      <w:r>
        <w:rPr>
          <w:rFonts w:hint="eastAsia"/>
        </w:rPr>
        <w:t>原有指标</w:t>
      </w:r>
      <w:r>
        <w:t>变得不切实际，可能导致</w:t>
      </w:r>
      <w:r>
        <w:rPr>
          <w:rFonts w:hint="eastAsia"/>
        </w:rPr>
        <w:t>员工</w:t>
      </w:r>
      <w:r>
        <w:t>效率低下。</w:t>
      </w:r>
      <w:r>
        <w:rPr>
          <w:rFonts w:hint="eastAsia"/>
        </w:rPr>
        <w:t>.</w:t>
      </w:r>
    </w:p>
    <w:p>
      <w:r>
        <w:rPr>
          <w:rFonts w:hint="eastAsia"/>
        </w:rPr>
        <w:t>还应考虑为员工制定的指标，从而适应短期效率的预期变化。公司</w:t>
      </w:r>
      <w:r>
        <w:t>甚至可能希望</w:t>
      </w:r>
      <w:r>
        <w:rPr>
          <w:rFonts w:hint="eastAsia"/>
        </w:rPr>
        <w:t>制定</w:t>
      </w:r>
      <w:r>
        <w:t>一些与目前</w:t>
      </w:r>
      <w:r>
        <w:rPr>
          <w:rFonts w:hint="eastAsia"/>
        </w:rPr>
        <w:t>指标不同的绩效指标，</w:t>
      </w:r>
      <w:r>
        <w:t>用于鼓励平稳过渡至</w:t>
      </w:r>
      <w:r>
        <w:rPr>
          <w:rFonts w:hint="eastAsia"/>
        </w:rPr>
        <w:t>更高的生产水平。</w:t>
      </w:r>
    </w:p>
    <w:p>
      <w:r>
        <w:rPr>
          <w:rFonts w:hint="eastAsia"/>
        </w:rPr>
        <w:t>幸好，从长远来看，随着</w:t>
      </w:r>
      <w:r>
        <w:t>Jord员工受益于学习曲线效应，</w:t>
      </w:r>
      <w:r>
        <w:rPr>
          <w:rFonts w:hint="eastAsia"/>
        </w:rPr>
        <w:t>情况</w:t>
      </w:r>
      <w:r>
        <w:t>将恢复到与以前一样</w:t>
      </w:r>
      <w:r>
        <w:rPr>
          <w:rFonts w:hint="eastAsia"/>
        </w:rPr>
        <w:t>的</w:t>
      </w:r>
      <w:r>
        <w:t>高效状态，并且</w:t>
      </w:r>
      <w:r>
        <w:rPr>
          <w:rFonts w:hint="eastAsia"/>
        </w:rPr>
        <w:t>公司</w:t>
      </w:r>
      <w:r>
        <w:t>很可能会发现，一旦</w:t>
      </w:r>
      <w:r>
        <w:rPr>
          <w:rFonts w:hint="eastAsia"/>
        </w:rPr>
        <w:t>问题</w:t>
      </w:r>
      <w:r>
        <w:t>解决，就可以恢复到</w:t>
      </w:r>
      <w:r>
        <w:rPr>
          <w:rFonts w:hint="eastAsia"/>
        </w:rPr>
        <w:t>扩建</w:t>
      </w:r>
      <w:r>
        <w:t>前的</w:t>
      </w:r>
      <w:r>
        <w:rPr>
          <w:rFonts w:hint="eastAsia"/>
        </w:rPr>
        <w:t>绩效</w:t>
      </w:r>
      <w:r>
        <w:t>水平。</w:t>
      </w:r>
    </w:p>
    <w:p>
      <w:r>
        <w:rPr>
          <w:rFonts w:hint="eastAsia"/>
        </w:rPr>
        <w:t>如果</w:t>
      </w:r>
      <w:r>
        <w:t>Jord不考虑新的工作状况，并且将效率和</w:t>
      </w:r>
      <w:r>
        <w:rPr>
          <w:rFonts w:hint="eastAsia"/>
        </w:rPr>
        <w:t>废物指标</w:t>
      </w:r>
      <w:r>
        <w:t>保持在与</w:t>
      </w:r>
      <w:r>
        <w:rPr>
          <w:rFonts w:hint="eastAsia"/>
        </w:rPr>
        <w:t>扩建</w:t>
      </w:r>
      <w:r>
        <w:t>之前相同的水平，则可能会对士气产生重大影响，进一步增加在变革时期面临的挑战。</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AFF" w:usb1="C0007843" w:usb2="00000009" w:usb3="00000000" w:csb0="400001FF" w:csb1="FFFF0000"/>
  </w:font>
  <w:font w:name="等线 Light">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AFF" w:usb1="C0007843" w:usb2="00000009" w:usb3="00000000" w:csb0="400001FF" w:csb1="FFFF0000"/>
  </w:font>
  <w:font w:name="微软雅黑">
    <w:panose1 w:val="020B0503020204020204"/>
    <w:charset w:val="86"/>
    <w:family w:val="swiss"/>
    <w:pitch w:val="default"/>
    <w:sig w:usb0="80000287" w:usb1="280F3C52"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F71909"/>
    <w:multiLevelType w:val="multilevel"/>
    <w:tmpl w:val="0FF71909"/>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oNotDisplayPageBoundaries w:val="1"/>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7BB4"/>
    <w:rsid w:val="000022D6"/>
    <w:rsid w:val="00010004"/>
    <w:rsid w:val="001255EA"/>
    <w:rsid w:val="001B6CBA"/>
    <w:rsid w:val="001C6C72"/>
    <w:rsid w:val="001D1EA0"/>
    <w:rsid w:val="00237950"/>
    <w:rsid w:val="002D1525"/>
    <w:rsid w:val="003831AB"/>
    <w:rsid w:val="003D2233"/>
    <w:rsid w:val="004C3398"/>
    <w:rsid w:val="00521338"/>
    <w:rsid w:val="005A15C0"/>
    <w:rsid w:val="00666E1F"/>
    <w:rsid w:val="00735D59"/>
    <w:rsid w:val="007F7EFB"/>
    <w:rsid w:val="00815FA0"/>
    <w:rsid w:val="008E7913"/>
    <w:rsid w:val="00935312"/>
    <w:rsid w:val="00954D0B"/>
    <w:rsid w:val="009C2448"/>
    <w:rsid w:val="00A00B84"/>
    <w:rsid w:val="00A3281E"/>
    <w:rsid w:val="00A71516"/>
    <w:rsid w:val="00AD6C18"/>
    <w:rsid w:val="00CF7BB4"/>
    <w:rsid w:val="00E27900"/>
    <w:rsid w:val="00EF3AC8"/>
    <w:rsid w:val="00F47D89"/>
    <w:rsid w:val="00FE4E5F"/>
    <w:rsid w:val="00FF269A"/>
    <w:rsid w:val="0BD112F3"/>
    <w:rsid w:val="0CDE0BA3"/>
    <w:rsid w:val="1A1A6B47"/>
    <w:rsid w:val="1AC856C9"/>
    <w:rsid w:val="1D426DAC"/>
    <w:rsid w:val="24DC2C62"/>
    <w:rsid w:val="31480BEC"/>
    <w:rsid w:val="32EA1852"/>
    <w:rsid w:val="34626756"/>
    <w:rsid w:val="46281977"/>
    <w:rsid w:val="4D1D295B"/>
    <w:rsid w:val="59476D1F"/>
    <w:rsid w:val="5BA0576F"/>
    <w:rsid w:val="5D496ABE"/>
    <w:rsid w:val="5FD46805"/>
    <w:rsid w:val="60D93230"/>
    <w:rsid w:val="62832725"/>
    <w:rsid w:val="65477303"/>
    <w:rsid w:val="6C646D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2"/>
    <w:qFormat/>
    <w:uiPriority w:val="1"/>
    <w:pPr>
      <w:spacing w:before="65"/>
      <w:ind w:left="1020"/>
      <w:jc w:val="left"/>
      <w:outlineLvl w:val="0"/>
    </w:pPr>
    <w:rPr>
      <w:rFonts w:ascii="Arial" w:hAnsi="Arial" w:eastAsia="Arial"/>
      <w:b/>
      <w:bCs/>
      <w:kern w:val="0"/>
      <w:sz w:val="28"/>
      <w:szCs w:val="28"/>
      <w:u w:val="single"/>
      <w:lang w:eastAsia="en-US"/>
    </w:rPr>
  </w:style>
  <w:style w:type="paragraph" w:styleId="3">
    <w:name w:val="heading 2"/>
    <w:basedOn w:val="1"/>
    <w:next w:val="1"/>
    <w:link w:val="13"/>
    <w:semiHidden/>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table" w:styleId="7">
    <w:name w:val="Table Grid"/>
    <w:basedOn w:val="6"/>
    <w:qFormat/>
    <w:uiPriority w:val="59"/>
    <w:pPr>
      <w:widowControl w:val="0"/>
    </w:pPr>
    <w:rPr>
      <w:sz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页眉 字符"/>
    <w:basedOn w:val="8"/>
    <w:link w:val="5"/>
    <w:qFormat/>
    <w:uiPriority w:val="99"/>
    <w:rPr>
      <w:sz w:val="18"/>
      <w:szCs w:val="18"/>
    </w:rPr>
  </w:style>
  <w:style w:type="character" w:customStyle="1" w:styleId="10">
    <w:name w:val="页脚 字符"/>
    <w:basedOn w:val="8"/>
    <w:link w:val="4"/>
    <w:qFormat/>
    <w:uiPriority w:val="99"/>
    <w:rPr>
      <w:sz w:val="18"/>
      <w:szCs w:val="18"/>
    </w:rPr>
  </w:style>
  <w:style w:type="paragraph" w:styleId="11">
    <w:name w:val="List Paragraph"/>
    <w:basedOn w:val="1"/>
    <w:qFormat/>
    <w:uiPriority w:val="34"/>
    <w:pPr>
      <w:widowControl/>
      <w:ind w:left="720"/>
      <w:contextualSpacing/>
      <w:jc w:val="left"/>
    </w:pPr>
    <w:rPr>
      <w:rFonts w:ascii="Times New Roman" w:hAnsi="Times New Roman" w:eastAsia="Times New Roman" w:cs="Times New Roman"/>
      <w:kern w:val="0"/>
      <w:sz w:val="20"/>
      <w:szCs w:val="20"/>
    </w:rPr>
  </w:style>
  <w:style w:type="character" w:customStyle="1" w:styleId="12">
    <w:name w:val="标题 1 字符"/>
    <w:basedOn w:val="8"/>
    <w:link w:val="2"/>
    <w:qFormat/>
    <w:uiPriority w:val="1"/>
    <w:rPr>
      <w:rFonts w:ascii="Arial" w:hAnsi="Arial" w:eastAsia="Arial"/>
      <w:b/>
      <w:bCs/>
      <w:kern w:val="0"/>
      <w:sz w:val="28"/>
      <w:szCs w:val="28"/>
      <w:u w:val="single"/>
      <w:lang w:eastAsia="en-US"/>
    </w:rPr>
  </w:style>
  <w:style w:type="character" w:customStyle="1" w:styleId="13">
    <w:name w:val="标题 2 字符"/>
    <w:basedOn w:val="8"/>
    <w:link w:val="3"/>
    <w:semiHidden/>
    <w:qFormat/>
    <w:uiPriority w:val="9"/>
    <w:rPr>
      <w:rFonts w:asciiTheme="majorHAnsi" w:hAnsiTheme="majorHAnsi" w:eastAsiaTheme="majorEastAsia" w:cstheme="majorBidi"/>
      <w:b/>
      <w:bCs/>
      <w:sz w:val="32"/>
      <w:szCs w:val="3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Pages>
  <Words>288</Words>
  <Characters>1419</Characters>
  <Lines>24</Lines>
  <Paragraphs>27</Paragraphs>
  <TotalTime>0</TotalTime>
  <ScaleCrop>false</ScaleCrop>
  <LinksUpToDate>false</LinksUpToDate>
  <CharactersWithSpaces>1680</CharactersWithSpaces>
  <Application>WPS Office_11.1.0.9584_F1E327BC-269C-435d-A152-05C5408002CA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2020-04-22T21:53:00Z</dcterms:created>
  <dc:creator>张钧鸿</dc:creator>
  <cp:lastModifiedBy>公子洲</cp:lastModifiedBy>
  <dcterms:modified xsi:type="dcterms:W3CDTF">2020-04-30T22:55:37Z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2052-11.1.0.9584</vt:lpwstr>
  </property>
</Properties>
</file>