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 xml:space="preserve">2018 </w:t>
      </w:r>
      <w:r>
        <w:rPr>
          <w:rFonts w:hint="eastAsia" w:ascii="微软雅黑" w:hAnsi="微软雅黑" w:eastAsia="微软雅黑"/>
          <w:sz w:val="22"/>
          <w:szCs w:val="22"/>
        </w:rPr>
        <w:t>年11月考季试卷1</w:t>
      </w:r>
      <w:r>
        <w:rPr>
          <w:rFonts w:ascii="微软雅黑" w:hAnsi="微软雅黑" w:eastAsia="微软雅黑"/>
          <w:sz w:val="22"/>
          <w:szCs w:val="22"/>
        </w:rPr>
        <w:t>：</w:t>
      </w:r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FF0000"/>
          <w:sz w:val="22"/>
          <w:szCs w:val="22"/>
        </w:rPr>
        <w:drawing>
          <wp:inline distT="0" distB="0" distL="0" distR="0">
            <wp:extent cx="5742305" cy="5712460"/>
            <wp:effectExtent l="0" t="0" r="10795" b="254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272" cy="573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r>
        <w:rPr>
          <w:rFonts w:hint="eastAsia"/>
          <w:b/>
          <w:bCs/>
        </w:rPr>
        <w:t>风险管理</w:t>
      </w:r>
    </w:p>
    <w:p>
      <w:r>
        <w:rPr>
          <w:rFonts w:hint="eastAsia"/>
        </w:rPr>
        <w:t>风险图让我们能够在图表上绘制风险及其发生的可能性，并确定适当的措施。</w:t>
      </w:r>
      <w:r>
        <w:t>对业务有重大影响且极有可能发生的风险需要紧急关注，而那些影响较小且发生几率较</w:t>
      </w:r>
      <w:r>
        <w:rPr>
          <w:rFonts w:hint="eastAsia"/>
        </w:rPr>
        <w:t>低</w:t>
      </w:r>
      <w:r>
        <w:t>的风险则需要</w:t>
      </w:r>
      <w:r>
        <w:rPr>
          <w:rFonts w:hint="eastAsia"/>
        </w:rPr>
        <w:t>少量</w:t>
      </w:r>
      <w:r>
        <w:t>关注。</w:t>
      </w:r>
    </w:p>
    <w:p>
      <w:r>
        <w:rPr>
          <w:rFonts w:hint="eastAsia"/>
        </w:rPr>
        <w:t>如果可能性很高，但影响很小，应寻求降低风险的方法。</w:t>
      </w:r>
      <w:r>
        <w:t>如果可能性很高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影响</w:t>
      </w:r>
      <w:r>
        <w:t>也很</w:t>
      </w:r>
      <w:r>
        <w:rPr>
          <w:rFonts w:hint="eastAsia"/>
        </w:rPr>
        <w:t>大</w:t>
      </w:r>
      <w:r>
        <w:t>，</w:t>
      </w:r>
      <w:r>
        <w:rPr>
          <w:rFonts w:hint="eastAsia"/>
        </w:rPr>
        <w:t>则</w:t>
      </w:r>
      <w:r>
        <w:t>应避免风险，也许不</w:t>
      </w:r>
      <w:r>
        <w:rPr>
          <w:rFonts w:hint="eastAsia"/>
        </w:rPr>
        <w:t>再实施</w:t>
      </w:r>
      <w:r>
        <w:t>该项目。</w:t>
      </w:r>
    </w:p>
    <w:p>
      <w:r>
        <w:rPr>
          <w:rFonts w:hint="eastAsia"/>
        </w:rPr>
        <w:t>如果可能性较低，但影响较大，可尝试分摊风险，或通过保险将其转移给其他实体。</w:t>
      </w:r>
      <w:r>
        <w:t>如果可能性</w:t>
      </w:r>
      <w:r>
        <w:rPr>
          <w:rFonts w:hint="eastAsia"/>
        </w:rPr>
        <w:t>较</w:t>
      </w:r>
      <w:r>
        <w:t>低且影响</w:t>
      </w:r>
      <w:r>
        <w:rPr>
          <w:rFonts w:hint="eastAsia"/>
        </w:rPr>
        <w:t>较小</w:t>
      </w:r>
      <w:r>
        <w:t>，</w:t>
      </w:r>
      <w:r>
        <w:rPr>
          <w:rFonts w:hint="eastAsia"/>
        </w:rPr>
        <w:t>则</w:t>
      </w:r>
      <w:r>
        <w:t>可以</w:t>
      </w:r>
      <w:r>
        <w:rPr>
          <w:rFonts w:hint="eastAsia"/>
        </w:rPr>
        <w:t>直接</w:t>
      </w:r>
      <w:r>
        <w:t>接受风险。</w:t>
      </w:r>
    </w:p>
    <w:p>
      <w:r>
        <w:rPr>
          <w:rFonts w:hint="eastAsia"/>
        </w:rPr>
        <w:t>以下依次分析所提及的各项风险：</w:t>
      </w:r>
    </w:p>
    <w:p>
      <w:r>
        <w:t>1.如果TigerFizz在可预见的未来</w:t>
      </w:r>
      <w:r>
        <w:rPr>
          <w:rFonts w:hint="eastAsia"/>
        </w:rPr>
        <w:t>中</w:t>
      </w:r>
      <w:r>
        <w:t>继续</w:t>
      </w:r>
      <w:r>
        <w:rPr>
          <w:rFonts w:hint="eastAsia"/>
        </w:rPr>
        <w:t>业绩</w:t>
      </w:r>
      <w:r>
        <w:t>低于预期，该怎么办？</w:t>
      </w:r>
    </w:p>
    <w:p>
      <w:r>
        <w:rPr>
          <w:rFonts w:hint="eastAsia"/>
        </w:rPr>
        <w:t>我们已经认可了这对我们来说是一笔巨大投资。如果</w:t>
      </w:r>
      <w:r>
        <w:t>TigerFizz失败，将会对我们的业绩以及继续交易的能力产生重大影响。发生这种情况的可能性未知。我们将确保在收购之前，已经仔细审查了企业的财务报表。如果</w:t>
      </w:r>
      <w:r>
        <w:rPr>
          <w:rFonts w:hint="eastAsia"/>
        </w:rPr>
        <w:t>经过审查</w:t>
      </w:r>
      <w:r>
        <w:t>之后，我们发现失败的风险很高，因为</w:t>
      </w:r>
      <w:r>
        <w:rPr>
          <w:rFonts w:hint="eastAsia"/>
        </w:rPr>
        <w:t>该公司</w:t>
      </w:r>
      <w:r>
        <w:t>可能无法</w:t>
      </w:r>
      <w:r>
        <w:rPr>
          <w:rFonts w:hint="eastAsia"/>
        </w:rPr>
        <w:t>盈利</w:t>
      </w:r>
      <w:r>
        <w:t>，或者TigerFizz在文化</w:t>
      </w:r>
      <w:r>
        <w:rPr>
          <w:rFonts w:hint="eastAsia"/>
        </w:rPr>
        <w:t>方面不契合</w:t>
      </w:r>
      <w:r>
        <w:t>，那么Grapple应该“避免”</w:t>
      </w:r>
      <w:r>
        <w:rPr>
          <w:rFonts w:hint="eastAsia"/>
        </w:rPr>
        <w:t>风险，否决</w:t>
      </w:r>
      <w:r>
        <w:t>收购Grapple。如果可能性很小，可以建议</w:t>
      </w:r>
      <w:r>
        <w:rPr>
          <w:rFonts w:hint="eastAsia"/>
        </w:rPr>
        <w:t>部分对价</w:t>
      </w:r>
      <w:r>
        <w:t>以TigerFizz的未来</w:t>
      </w:r>
      <w:r>
        <w:rPr>
          <w:rFonts w:hint="eastAsia"/>
        </w:rPr>
        <w:t>业绩</w:t>
      </w:r>
      <w:r>
        <w:t>达到某个目标为条件</w:t>
      </w:r>
      <w:r>
        <w:rPr>
          <w:rFonts w:hint="eastAsia"/>
        </w:rPr>
        <w:t>，从而分摊</w:t>
      </w:r>
      <w:r>
        <w:t>风险。</w:t>
      </w:r>
    </w:p>
    <w:p>
      <w:r>
        <w:t>2.如果利率从目前的3％上升到3.5％，该怎么办？</w:t>
      </w:r>
    </w:p>
    <w:p>
      <w:r>
        <w:t>0.5％的利率</w:t>
      </w:r>
      <w:r>
        <w:rPr>
          <w:rFonts w:hint="eastAsia"/>
        </w:rPr>
        <w:t>上调幅度并不大，如果我们借入全部对价，那么利息将增加约Z</w:t>
      </w:r>
      <w:r>
        <w:t>$15,000。</w:t>
      </w:r>
      <w:r>
        <w:rPr>
          <w:rFonts w:hint="eastAsia"/>
        </w:rPr>
        <w:t>其</w:t>
      </w:r>
      <w:r>
        <w:t>可能性未知，但是我们可以研究经济预测，</w:t>
      </w:r>
      <w:r>
        <w:rPr>
          <w:rFonts w:hint="eastAsia"/>
        </w:rPr>
        <w:t>协助</w:t>
      </w:r>
      <w:r>
        <w:t>确定这种</w:t>
      </w:r>
      <w:r>
        <w:rPr>
          <w:rFonts w:hint="eastAsia"/>
        </w:rPr>
        <w:t>情况</w:t>
      </w:r>
      <w:r>
        <w:t>发生的可能性。由于对财务报表的影响不大，因此，只要对集团的盈利能力</w:t>
      </w:r>
      <w:r>
        <w:rPr>
          <w:rFonts w:hint="eastAsia"/>
        </w:rPr>
        <w:t>不存在</w:t>
      </w:r>
      <w:r>
        <w:t>其他担忧，就可以接受风险。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公允价值调整</w:t>
      </w:r>
    </w:p>
    <w:p>
      <w:pPr>
        <w:rPr>
          <w:b/>
          <w:bCs/>
        </w:rPr>
      </w:pPr>
      <w:r>
        <w:rPr>
          <w:rFonts w:hint="eastAsia"/>
          <w:b/>
          <w:bCs/>
        </w:rPr>
        <w:t>公允价值是多少？</w:t>
      </w:r>
    </w:p>
    <w:p>
      <w:r>
        <w:rPr>
          <w:rFonts w:hint="eastAsia"/>
        </w:rPr>
        <w:t>根据采用国际会计准则的合并财务报表原则，收购子公司时，其净资产以公允价值确认。收购日的账面价值（子公司财务报表中净资产的价值）与净资产公允价值（市场价值）之间的差额称为公允价值调整。对于</w:t>
      </w:r>
      <w:r>
        <w:t>TigerFizz</w:t>
      </w:r>
      <w:r>
        <w:rPr>
          <w:rFonts w:hint="eastAsia"/>
        </w:rPr>
        <w:t>来说</w:t>
      </w:r>
      <w:r>
        <w:t>，土地的</w:t>
      </w:r>
      <w:r>
        <w:rPr>
          <w:rFonts w:hint="eastAsia"/>
        </w:rPr>
        <w:t>差额为Z</w:t>
      </w:r>
      <w:r>
        <w:t>$70万</w:t>
      </w:r>
      <w:r>
        <w:rPr>
          <w:rFonts w:hint="eastAsia"/>
        </w:rPr>
        <w:t>元</w:t>
      </w:r>
      <w:r>
        <w:t>（</w:t>
      </w:r>
      <w:r>
        <w:rPr>
          <w:rFonts w:hint="eastAsia"/>
        </w:rPr>
        <w:t>Z</w:t>
      </w:r>
      <w:r>
        <w:t>$160万</w:t>
      </w:r>
      <w:r>
        <w:rPr>
          <w:rFonts w:hint="eastAsia"/>
        </w:rPr>
        <w:t xml:space="preserve">元 </w:t>
      </w:r>
      <w:r>
        <w:t>– Z$90万</w:t>
      </w:r>
      <w:r>
        <w:rPr>
          <w:rFonts w:hint="eastAsia"/>
        </w:rPr>
        <w:t>元</w:t>
      </w:r>
      <w:r>
        <w:t>）</w:t>
      </w:r>
      <w:r>
        <w:rPr>
          <w:rFonts w:hint="eastAsia"/>
        </w:rPr>
        <w:t>，</w:t>
      </w:r>
      <w:r>
        <w:t>品牌</w:t>
      </w:r>
      <w:r>
        <w:rPr>
          <w:rFonts w:hint="eastAsia"/>
        </w:rPr>
        <w:t>差额为Z</w:t>
      </w:r>
      <w:r>
        <w:t>$110万</w:t>
      </w:r>
      <w:r>
        <w:rPr>
          <w:rFonts w:hint="eastAsia"/>
        </w:rPr>
        <w:t>元</w:t>
      </w:r>
      <w:r>
        <w:t>（</w:t>
      </w:r>
      <w:r>
        <w:rPr>
          <w:rFonts w:hint="eastAsia"/>
        </w:rPr>
        <w:t>Z</w:t>
      </w:r>
      <w:r>
        <w:t>$110万</w:t>
      </w:r>
      <w:r>
        <w:rPr>
          <w:rFonts w:hint="eastAsia"/>
        </w:rPr>
        <w:t xml:space="preserve">元 </w:t>
      </w:r>
      <w:r>
        <w:t>– Z$0元）</w:t>
      </w:r>
      <w:r>
        <w:rPr>
          <w:rFonts w:hint="eastAsia"/>
        </w:rPr>
        <w:t>，</w:t>
      </w:r>
      <w:r>
        <w:t>代表了公允价值调整。品牌由TigerFizz内部产生</w:t>
      </w:r>
      <w:r>
        <w:rPr>
          <w:rFonts w:hint="eastAsia"/>
        </w:rPr>
        <w:t>，这一</w:t>
      </w:r>
      <w:r>
        <w:t>事实意味着，</w:t>
      </w:r>
      <w:r>
        <w:rPr>
          <w:rFonts w:hint="eastAsia"/>
        </w:rPr>
        <w:t>品牌</w:t>
      </w:r>
      <w:r>
        <w:t>不会在单一实体财务报表中被确认为无形资产。由于Grapple将收购该品牌，因此将在该集团的合并财务报表中予以确认。</w:t>
      </w:r>
    </w:p>
    <w:p>
      <w:r>
        <w:rPr>
          <w:rFonts w:hint="eastAsia"/>
        </w:rPr>
        <w:t>在计算收购</w:t>
      </w:r>
      <w:r>
        <w:t>TigerFizz的商誉时，Grapple将从应付对价中扣除净资产的公允价值。此处计算的调整额被加到当前账面价值中，以创建净资产的公允价值。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公允价值调整对合并财务报表的影响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收购时净资产的价值从账面价值增加到公允价值，将以两种方式影响合并财务报表：</w:t>
      </w:r>
    </w:p>
    <w:p>
      <w:pPr>
        <w:pStyle w:val="11"/>
        <w:numPr>
          <w:ilvl w:val="0"/>
          <w:numId w:val="2"/>
        </w:num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商誉的价值低于比我们根据账面价值计算的商誉。这增加了合并财务状况表中非流动资产部分的土地价值。此外，现在还将有名为“品牌”的无形资产。</w:t>
      </w:r>
    </w:p>
    <w:p>
      <w:pPr>
        <w:pStyle w:val="11"/>
        <w:numPr>
          <w:ilvl w:val="0"/>
          <w:numId w:val="2"/>
        </w:num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cs="宋体" w:asciiTheme="minorEastAsia" w:hAnsiTheme="minorEastAsia" w:eastAsiaTheme="minorEastAsia"/>
          <w:sz w:val="21"/>
          <w:szCs w:val="21"/>
        </w:rPr>
        <w:t>使用年限为</w:t>
      </w:r>
      <w:r>
        <w:rPr>
          <w:rFonts w:asciiTheme="minorEastAsia" w:hAnsiTheme="minorEastAsia" w:eastAsiaTheme="minorEastAsia"/>
          <w:sz w:val="21"/>
          <w:szCs w:val="21"/>
        </w:rPr>
        <w:t>25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年的品牌价值增加，意味着对合并损益表的摊销费用将增加，从而减少了收购后集团的利润。土地不折旧。摊销为Z</w:t>
      </w:r>
      <w:r>
        <w:rPr>
          <w:rFonts w:cs="宋体" w:asciiTheme="minorEastAsia" w:hAnsiTheme="minorEastAsia" w:eastAsiaTheme="minorEastAsia"/>
          <w:sz w:val="21"/>
          <w:szCs w:val="21"/>
        </w:rPr>
        <w:t>$</w:t>
      </w:r>
      <w:r>
        <w:rPr>
          <w:rFonts w:asciiTheme="minorEastAsia" w:hAnsiTheme="minorEastAsia" w:eastAsiaTheme="minorEastAsia"/>
          <w:sz w:val="21"/>
          <w:szCs w:val="21"/>
        </w:rPr>
        <w:t>110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万元</w:t>
      </w:r>
      <w:r>
        <w:rPr>
          <w:rFonts w:asciiTheme="minorEastAsia" w:hAnsiTheme="minorEastAsia" w:eastAsiaTheme="minorEastAsia"/>
          <w:sz w:val="21"/>
          <w:szCs w:val="21"/>
        </w:rPr>
        <w:t>/25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年，即Z</w:t>
      </w:r>
      <w:r>
        <w:rPr>
          <w:rFonts w:cs="宋体" w:asciiTheme="minorEastAsia" w:hAnsiTheme="minorEastAsia" w:eastAsiaTheme="minorEastAsia"/>
          <w:sz w:val="21"/>
          <w:szCs w:val="21"/>
        </w:rPr>
        <w:t>$</w:t>
      </w:r>
      <w:r>
        <w:rPr>
          <w:rFonts w:asciiTheme="minorEastAsia" w:hAnsiTheme="minorEastAsia" w:eastAsiaTheme="minorEastAsia"/>
          <w:sz w:val="21"/>
          <w:szCs w:val="21"/>
        </w:rPr>
        <w:t>44,000</w:t>
      </w:r>
      <w:r>
        <w:rPr>
          <w:rFonts w:hint="eastAsia" w:cs="宋体" w:asciiTheme="minorEastAsia" w:hAnsiTheme="minorEastAsia" w:eastAsiaTheme="minorEastAsia"/>
          <w:sz w:val="21"/>
          <w:szCs w:val="21"/>
        </w:rPr>
        <w:t>元。与利润水平相比，这个数字并不高。</w:t>
      </w:r>
    </w:p>
    <w:p>
      <w:r>
        <w:rPr>
          <w:rFonts w:hint="eastAsia" w:asciiTheme="minorEastAsia" w:hAnsiTheme="minorEastAsia"/>
        </w:rPr>
        <w:t>我相信这已经回答了您的问题，但是如果您还有其他问题，请向我提出。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C6DAE"/>
    <w:multiLevelType w:val="multilevel"/>
    <w:tmpl w:val="17EC6D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1">
    <w:nsid w:val="7A111EFB"/>
    <w:multiLevelType w:val="multilevel"/>
    <w:tmpl w:val="7A111EFB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00807"/>
    <w:rsid w:val="00105DC8"/>
    <w:rsid w:val="00114741"/>
    <w:rsid w:val="001323B4"/>
    <w:rsid w:val="001B6CBA"/>
    <w:rsid w:val="001C76BA"/>
    <w:rsid w:val="00321C4E"/>
    <w:rsid w:val="003D2233"/>
    <w:rsid w:val="004B3819"/>
    <w:rsid w:val="004C3398"/>
    <w:rsid w:val="00521338"/>
    <w:rsid w:val="00571075"/>
    <w:rsid w:val="00590183"/>
    <w:rsid w:val="00853215"/>
    <w:rsid w:val="008E7913"/>
    <w:rsid w:val="00935312"/>
    <w:rsid w:val="00954D0B"/>
    <w:rsid w:val="00A00B84"/>
    <w:rsid w:val="00AC6470"/>
    <w:rsid w:val="00AD6C18"/>
    <w:rsid w:val="00B74385"/>
    <w:rsid w:val="00B91525"/>
    <w:rsid w:val="00C31A42"/>
    <w:rsid w:val="00C54D06"/>
    <w:rsid w:val="00CD3A0C"/>
    <w:rsid w:val="00CF7BB4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CAD543D"/>
    <w:rsid w:val="2CD07429"/>
    <w:rsid w:val="2CE21521"/>
    <w:rsid w:val="2FAC7A37"/>
    <w:rsid w:val="31480BEC"/>
    <w:rsid w:val="32EA1852"/>
    <w:rsid w:val="34626756"/>
    <w:rsid w:val="3C5F076E"/>
    <w:rsid w:val="43104951"/>
    <w:rsid w:val="46281977"/>
    <w:rsid w:val="4D1D295B"/>
    <w:rsid w:val="57654539"/>
    <w:rsid w:val="58257D93"/>
    <w:rsid w:val="59476D1F"/>
    <w:rsid w:val="595B3DF2"/>
    <w:rsid w:val="5B1F66AC"/>
    <w:rsid w:val="5B6910FA"/>
    <w:rsid w:val="5BA0576F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204</Words>
  <Characters>1169</Characters>
  <Lines>9</Lines>
  <Paragraphs>2</Paragraphs>
  <TotalTime>0</TotalTime>
  <ScaleCrop>false</ScaleCrop>
  <LinksUpToDate>false</LinksUpToDate>
  <CharactersWithSpaces>1371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2020-04-23T07:41:00Z</dcterms:created>
  <dc:creator>张钧鸿</dc:creator>
  <cp:lastModifiedBy>公子洲</cp:lastModifiedBy>
  <dcterms:modified xsi:type="dcterms:W3CDTF">2020-04-30T23:03:41Z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