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105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five task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44845" cy="3329940"/>
            <wp:effectExtent l="0" t="0" r="8255" b="381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6663" cy="339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5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3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Need for additional disclosures and types of disclosures recommended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You might consider the application of IAS 24 Related Party Disclosures to this case. If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your brother is classed as a related person under IAS 24 then this arrangement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have to be disclosed in the notes to the financial statements.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 CIO, you are a member of key management personnel. A close member of your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family would count as being a related party. The definition of “close member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family” does not actually include sibling relationships, focusing on children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spouses. Your brother is probably not a related party under a narrow interpretation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IAS 24, although if it could be argued that he could be expected to influence you then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he might be included in terms of the spirit of the standard.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might be argued that the lack of a specific accounting regulation that requires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disclosure does not constitute grounds for omitting disclosures. From a purely ethical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perspective, the shareholders might be concerned by any lack of transparency in this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arrangement. The fact that your brother may have obtained an unfair advantage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without disclosure would probably constitute a material breach.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matter is complicated still further by the fact that several family members hold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shares in the company. They will undoubtedly be aware of their brother’s ownership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showroom and so they would not require any disclosure. That may not be deemed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 acceptable excuse by the investment companies who have made major investments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equity. They may feel that they have a right to know everything that the family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members do about the business. 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Cultural differences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Culture, which is aptly defined by Hardy as ‘the way we do things around here’ is 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important part of the way in which an organisation works. Culture will influence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strategy formation and performance on an ongoing basis, therefore it is an important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part of success or failure and when an organisation begins to operate in a new culture 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 certainly worth taking time to understand that culture and how differences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influence existing together.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this scenario we are considering opening a showroom in Ustaria, where the culture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 relaxed, flexible and casual. This seems, superficially, to contrast with the culture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 where work is performed on an efficient, formal, lean, well controlled ‘just-in?time’ basis. This could lead to frustrations for Jord if the staff working in the Ustaria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showroom don’t function in the style Jord is used to and depends upon to deliver its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high standards. For example, if a casual approach was to lead to delays in ordering,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 is likely to find this unacceptable, jeopardising high standards of customer service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potentially affecting Jord’s reputation.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Worse still, if a casual approach leads to a reduced understanding of customer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requirements or mistakes in the order, Jord’s premium reputation may again suffer.</w:t>
      </w:r>
    </w:p>
    <w:p>
      <w:pPr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Managing the cultural differences</w:t>
      </w:r>
    </w:p>
    <w:bookmarkEnd w:id="0"/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seems unlikely that it would be acceptable to operate a showroom in Ustaria that has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 different culture to the rest of Jord’s global operations. Therefore, Jord will need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attempt to influence the culture of those people working in its Ustaria showroom to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more consistent with the culture at Jord.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may be that Jord has to allow some element of difference in the way its Ustaria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showroom works to ensure the operation fits in satisfactorily in that country, but this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more likely to be in the way of some small compromises rather than accepting a vastly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different operating culture.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Staff at the Ustaria showroom are likely to be used to working in certain ways,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consistent with the norms of Ustaria. Therefore, they will need to understand that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way Jord likes to work is culturally different and receive good quality communication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about those differences and how Jord proposes the culture to operate in the Ustaria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Jord showroom.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Once staff in Ustaria understand why Jord operates in certain ways, and why it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beneficial for the organisation overall, then there is a higher chance that they will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receptive to work in that style themselves. Training will be required to ensure this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fully understood and an open approach to communication with a two-way flow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fundamental to setting this showroom up well.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Technology may be effectively utilised to communicate across national borders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across different time zones. For example, a computer-based conference call may allow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people to talk in a virtually face-to-face manner regardless of the time difference.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BD112F3"/>
    <w:rsid w:val="0BD2492B"/>
    <w:rsid w:val="0C796EFA"/>
    <w:rsid w:val="0CDE0BA3"/>
    <w:rsid w:val="0D7B0C8C"/>
    <w:rsid w:val="118E741F"/>
    <w:rsid w:val="152A71FE"/>
    <w:rsid w:val="173B1422"/>
    <w:rsid w:val="17CF7C78"/>
    <w:rsid w:val="1A1A6B47"/>
    <w:rsid w:val="1AC856C9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DD80067"/>
    <w:rsid w:val="2FAC7A37"/>
    <w:rsid w:val="31480BEC"/>
    <w:rsid w:val="31A12E13"/>
    <w:rsid w:val="32EA1852"/>
    <w:rsid w:val="34626756"/>
    <w:rsid w:val="38F856FC"/>
    <w:rsid w:val="3B702077"/>
    <w:rsid w:val="3C5F076E"/>
    <w:rsid w:val="3CC95FDB"/>
    <w:rsid w:val="3F217C6D"/>
    <w:rsid w:val="43104951"/>
    <w:rsid w:val="46281977"/>
    <w:rsid w:val="481A38AF"/>
    <w:rsid w:val="4C835240"/>
    <w:rsid w:val="4C89201A"/>
    <w:rsid w:val="4D1D295B"/>
    <w:rsid w:val="50B47858"/>
    <w:rsid w:val="57654539"/>
    <w:rsid w:val="580E3715"/>
    <w:rsid w:val="58257D93"/>
    <w:rsid w:val="58671308"/>
    <w:rsid w:val="58B5460F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A5A4C65"/>
    <w:rsid w:val="6BF937A8"/>
    <w:rsid w:val="6C646D2D"/>
    <w:rsid w:val="6E8E0166"/>
    <w:rsid w:val="731579E5"/>
    <w:rsid w:val="7591145F"/>
    <w:rsid w:val="76893E6D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1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2020-04-05T09:47:52Z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