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145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three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313680" cy="4053840"/>
            <wp:effectExtent l="0" t="0" r="1270" b="381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180" cy="407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br w:type="page"/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transfer pricing system we have set up seeks to move profit from Garden Art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Jord, in order to benefit from a better tax rate in Corvola than Ertovia. In theory,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would lead to the recognition of more profit in the country with the lower tax rate,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which would benefit Jord as a whole. Such behaviour is, however, unlikely to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acceptable to the tax authorities in Ertovia. It is very likely that this approach would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deemed unacceptable from a tax perspective. If Jord went ahead then it could lead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investigations and demands for additional tax payments in Ertovia.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have been cases recently in which major multinational corporations have been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accused of trying to artificially reduce their tax bills through manipulation of transfer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prices. That has led to bad publicity for the companies concerned. The directors have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been accused of unethical behaviour and so it has caused reputational damage as well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as penalty payments.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nothing to prevent Jord from using this approach for internal management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purposes, with adjustments to reported earnings to cancel the 10% reduction.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could, however, lead to behavioural consequences and Jord may want to assess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whether the benefit gained by lowering the tax bill, particularly as Garden Art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currently barely profit making, are worth the potential issues that might be caused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within the group.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Transfer pricing in this way may impact on the morale and motivations of staff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Art. We know that they have some spare capacity and can still attract work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market value which at present is more beneficial to staff’s revenue-based bonus system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than performing the 10% discounted work for Jord.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have already received complaints from Saffron Svoboda, including a letter written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 behalf of the whole management team, stating their annoyance at the transfer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pricing in place. In this instance it appears to have affected their results, reducing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self-esteem of the team and impacting the bonuses they can achieve. Whether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bonus system in place is appropriate is a matter for separate consideration but,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certainly, this transfer pricing system has caused disgruntlement at the subsidiary.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disgruntlement could lead to behaviours that cause problems at Jord. If Garden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Art behave badly on Jord jobs reputation will be affected, and if they continue to fill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their order book with external work, instead of prioritising Jord work, it could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seriously affect the scheduling of jobs and reputation overall. Jord should be able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enforce upon Garden Art how they schedule Jord work in, but further steps to micro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manage these people could be very badly received causing further problems.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may be beneficial, at this point, to revisit the transfer pricing system to address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issues raised by Garden Art, perhaps as part of an exercise to look again at the whole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working relationship between Jord and Garden Art. A dual pricing system where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 records one price and Jord records another price may lead to some year?end adjustments in the accounts but could potentially keep both parties happy.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Managing conflict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significant problems occurring relating to conflict between Jord and Garden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Art. It appears that Jord have attempted to make a start on cost management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 and tried to impose Jord ways of working and scheduling, as well as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previously discussed transfer pricing system.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some extent, Garden Art should be expected to come into line with Jord. They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100% owned by Jord and, so, it is not unreasonable for Jord to require Garden Art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work in certain ways and follow the rules of operation of Jord as a company.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they don’t want a ‘riot’ on their hands, so may wish to look for a way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resolve the conflict more collaboratively, rather than simply laying down rules about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how things should work.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Good communication is always a good start point for such efforts. Explaining to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team at Garden Art why Jord works in the way it does, and why it is important for good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performance, lays down the basis for discussions about why Jord would now like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 to work in that way.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may want to emphasise that, ultimately, higher profitability is likely to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beneficial to everyone at Garden Art and, although it may seem difficult to accept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compromises and changes in the shot-term, the l</w:t>
      </w:r>
      <w:bookmarkStart w:id="0" w:name="_GoBack"/>
      <w:bookmarkEnd w:id="0"/>
      <w:r>
        <w:rPr>
          <w:rFonts w:hint="eastAsia"/>
          <w:b w:val="0"/>
          <w:bCs w:val="0"/>
        </w:rPr>
        <w:t xml:space="preserve">ong-term benefits may be quite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positive for staff at Garden Art. Jord could even set up a bonus system for Garden Art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staff based on group profitability. This could lead to more goal congruence across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organisation.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would be worth Jord spending some time with the team at Garden Art, talking these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matters through. This would also allow them to identify any members of staff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 who could assist with their efforts to tighten things up at Garden Art.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Identifying people who will be a driving force for change, keeping the peace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working collaboratively, could be very useful to Jord allowing them to work from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inside to resolve conflicts and achieve improvements overall.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7C6D"/>
    <w:rsid w:val="41EF7CD7"/>
    <w:rsid w:val="43104951"/>
    <w:rsid w:val="45576C75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24C48AF"/>
    <w:rsid w:val="731579E5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2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2020-04-05T10:40:29Z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