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</w:pPr>
      <w:r>
        <w:rPr>
          <w:rFonts w:hint="eastAsia" w:ascii="Arial" w:hAnsi="Arial" w:cs="Arial"/>
          <w:sz w:val="24"/>
          <w:szCs w:val="24"/>
        </w:rPr>
        <w:t>Bluebook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Page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159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May 2019 variant two examination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2"/>
        <w:spacing w:before="0"/>
        <w:ind w:left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736590" cy="4633595"/>
            <wp:effectExtent l="0" t="0" r="16510" b="14605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0657" cy="46451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 xml:space="preserve"> MAY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9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2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3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br w:type="page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The time value of money and the project appraisal methods used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Incorporating the time value of money into an investment appraisal decision takes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account of two factors. The first is that any investment involves committing funds that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have been raised and on which the entity is incurring a cost of finance. It is generally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appropriate to take that funding cost into account. These are relatively short term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projects, so the cost of capital will have less of an impact on the evaluation than if they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had a longer term, but it should also be borne in mind that Jord will be making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significant investment. C$7 million is a significant outlay.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other fact that the time value of money allows for is risk. Apart from the cost of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funds, the entity is also incurring a risk that the project may fail. Evaluating the project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using the time value of money gives an insight into whether the expected returns are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sufficient to justify the risks that are being taken.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principal measure based on the time value of money is net present value (NPV),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which has the advantage of linking the project’s anticipated outcome to the impact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project on shareholder wealth. On the basis of the table, accepting Phase 1 of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project will increase shareholder wealth by C$2.501 million, taking account of both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cost of capital and the risk.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IRR measures the return that is being earned on the funds invested in the project. Any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project that has an IRR that exceeds the required rate of return will have a positive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NPV. That means that Jord should accept Phase 1 if it can because it is delivering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35% return on investment, while the company requires only 10% in order to cover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cost of capital and the risk. The prospect of such a high return on investment may also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help the shareholders to understand the merits of accepting this risky project.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Discounted payback is more difficult to evaluate. In principle, it tells us that Jord will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 tying up funds for 1.5 years if it proceeds with Phase 1. That could be of some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interest in making strategic forecasts of cash flows, allowing for the need to raise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finance for other projects or generally for expansion.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Accounting treatment of the Vorsan project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You quite correctly noted that ‘revenues’ are not specifically mentioned in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spreadsheet presented by Carla. These are in fact included within the ‘Cash inflow’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category.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Jord’s normal business of building pre-fabricated houses for individual customers is in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keeping with the activities of most businesses in that our costs and revenues are posted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to the statement of profit and loss as and when they occur. However, with this project,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an alternative treatment is likely to be required. This is because the costs and revenues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will not always be occurring within the same accounting period.</w:t>
      </w:r>
    </w:p>
    <w:p>
      <w:pPr>
        <w:rPr>
          <w:rFonts w:hint="eastAsia"/>
          <w:b w:val="0"/>
          <w:bCs w:val="0"/>
        </w:rPr>
      </w:pPr>
      <w:bookmarkStart w:id="0" w:name="_GoBack"/>
      <w:bookmarkEnd w:id="0"/>
      <w:r>
        <w:rPr>
          <w:rFonts w:hint="eastAsia"/>
          <w:b w:val="0"/>
          <w:bCs w:val="0"/>
        </w:rPr>
        <w:t xml:space="preserve">In terms of accounting for the delivery of the Vorsan project, we would need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consider the application of IFRS 15 – Revenues from Contracts with Customers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(formerly covered by IAS 18), to determine how we account for the revenues received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 the Vorsan Golf Resort project, to ensure that the financial statements reflect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position that is as close to reality as possible, leading with the matching concept.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nature of this project may be different from most of our bespoke house building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projects because it will span more than one accounting period. In most cases, when we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deliver a bespoke manufactured home, we will take a down payment when the contract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is signed as a security, which will be recorded at that point as liability in the statement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of financial position. Costs and revenues will then be recorded in the period they occur.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To some extent, this revenue recognition issue currently occurs with our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manufacturing of homes but it is to a much lesser extent than this contract.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accounting issue for the Vorsan project is therefore when the revenue and costs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associated with a longer-term contract should be recognised. In terms of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accounting treatment of the Vorsan project, if we can estimate the outcome of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contract reliably, then the revenues and costs should be recognised in the income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statement by reference to the stage of completion of the contract activity at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reporting date. However, to satisfy this we must make sure that the following criteria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are met: firstly, the amount of revenue can be measured reliably; secondly, it 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probable that the economic benefits will flow to us; thirdly, the stage of completion 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balance sheet date can be measured reliably; and fourthly, the costs incurred, or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 incurred, in respect of the project can be measured reliably.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Phase I is likely to cause less difficulty for us and we should be able to simply account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for Revenue as Total contract revenue × % complete’, cost of sales as ‘Total expected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contract costs × % complete’ and Gross profit as ‘Total expected profit × % complete’.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This should help to ensure that the current profitability of the project is reflected fairly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in the financial statements.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Currently, Phase II is contingent on factors outside of our control and therefore it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would be prudent to not recognise this Phase of the project at all until there is certainty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that this will occur.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Arial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MT">
    <w:altName w:val="Angsana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B6CBA"/>
    <w:rsid w:val="003D2233"/>
    <w:rsid w:val="004C3398"/>
    <w:rsid w:val="00521338"/>
    <w:rsid w:val="008E7913"/>
    <w:rsid w:val="00935312"/>
    <w:rsid w:val="00954D0B"/>
    <w:rsid w:val="00A00B84"/>
    <w:rsid w:val="00AD6C18"/>
    <w:rsid w:val="00CF7BB4"/>
    <w:rsid w:val="03061EA4"/>
    <w:rsid w:val="052D5648"/>
    <w:rsid w:val="0A6234A3"/>
    <w:rsid w:val="0BD112F3"/>
    <w:rsid w:val="0BD2492B"/>
    <w:rsid w:val="0C796EFA"/>
    <w:rsid w:val="0CDE0BA3"/>
    <w:rsid w:val="0D7B0C8C"/>
    <w:rsid w:val="118E741F"/>
    <w:rsid w:val="147E03BD"/>
    <w:rsid w:val="152A71FE"/>
    <w:rsid w:val="173B1422"/>
    <w:rsid w:val="17A70635"/>
    <w:rsid w:val="17CF7C78"/>
    <w:rsid w:val="1A1A6B47"/>
    <w:rsid w:val="1AC856C9"/>
    <w:rsid w:val="1AFF4EF2"/>
    <w:rsid w:val="1D2D3651"/>
    <w:rsid w:val="1D426DAC"/>
    <w:rsid w:val="215E7624"/>
    <w:rsid w:val="21805FCF"/>
    <w:rsid w:val="24A0730A"/>
    <w:rsid w:val="24DC2C62"/>
    <w:rsid w:val="267E52C5"/>
    <w:rsid w:val="26B51519"/>
    <w:rsid w:val="27E614EA"/>
    <w:rsid w:val="292E36CE"/>
    <w:rsid w:val="2AC657BE"/>
    <w:rsid w:val="2C923697"/>
    <w:rsid w:val="2CAD543D"/>
    <w:rsid w:val="2CE21521"/>
    <w:rsid w:val="2DCC1793"/>
    <w:rsid w:val="2DD80067"/>
    <w:rsid w:val="2FAC7A37"/>
    <w:rsid w:val="31480BEC"/>
    <w:rsid w:val="31A12E13"/>
    <w:rsid w:val="32EA1852"/>
    <w:rsid w:val="34626756"/>
    <w:rsid w:val="350633E4"/>
    <w:rsid w:val="38F856FC"/>
    <w:rsid w:val="3B702077"/>
    <w:rsid w:val="3C5F076E"/>
    <w:rsid w:val="3CC95FDB"/>
    <w:rsid w:val="3E510BFC"/>
    <w:rsid w:val="3F214E01"/>
    <w:rsid w:val="3F217C6D"/>
    <w:rsid w:val="41EF7CD7"/>
    <w:rsid w:val="43104951"/>
    <w:rsid w:val="45576C75"/>
    <w:rsid w:val="46281977"/>
    <w:rsid w:val="474A3C0C"/>
    <w:rsid w:val="481A38AF"/>
    <w:rsid w:val="4BDC3169"/>
    <w:rsid w:val="4C835240"/>
    <w:rsid w:val="4C89201A"/>
    <w:rsid w:val="4D1D295B"/>
    <w:rsid w:val="4F2E3705"/>
    <w:rsid w:val="50B47858"/>
    <w:rsid w:val="52B37C51"/>
    <w:rsid w:val="554752D7"/>
    <w:rsid w:val="57654539"/>
    <w:rsid w:val="580E3715"/>
    <w:rsid w:val="58257D93"/>
    <w:rsid w:val="58615E3E"/>
    <w:rsid w:val="58671308"/>
    <w:rsid w:val="58B5460F"/>
    <w:rsid w:val="59476D1F"/>
    <w:rsid w:val="595B3DF2"/>
    <w:rsid w:val="5B1F66AC"/>
    <w:rsid w:val="5B6910FA"/>
    <w:rsid w:val="5BA0576F"/>
    <w:rsid w:val="5CB545E2"/>
    <w:rsid w:val="5D376219"/>
    <w:rsid w:val="5D496ABE"/>
    <w:rsid w:val="5ED20DCE"/>
    <w:rsid w:val="5FD46805"/>
    <w:rsid w:val="60165D34"/>
    <w:rsid w:val="62832725"/>
    <w:rsid w:val="64E2783D"/>
    <w:rsid w:val="650A1551"/>
    <w:rsid w:val="65477303"/>
    <w:rsid w:val="699E7EA0"/>
    <w:rsid w:val="6A5A4C65"/>
    <w:rsid w:val="6BF937A8"/>
    <w:rsid w:val="6C646D2D"/>
    <w:rsid w:val="6CC1375C"/>
    <w:rsid w:val="6E8E0166"/>
    <w:rsid w:val="6F65729E"/>
    <w:rsid w:val="724C48AF"/>
    <w:rsid w:val="731579E5"/>
    <w:rsid w:val="73FC0DF7"/>
    <w:rsid w:val="7591145F"/>
    <w:rsid w:val="76893E6D"/>
    <w:rsid w:val="77907789"/>
    <w:rsid w:val="7ACC2F28"/>
    <w:rsid w:val="7C4D0B6D"/>
    <w:rsid w:val="7D0258E9"/>
    <w:rsid w:val="7DF162A4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kern w:val="0"/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598</Words>
  <Characters>3409</Characters>
  <Lines>28</Lines>
  <Paragraphs>7</Paragraphs>
  <TotalTime>2</TotalTime>
  <ScaleCrop>false</ScaleCrop>
  <LinksUpToDate>false</LinksUpToDate>
  <CharactersWithSpaces>4000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2020-03-31T11:05:00Z</dcterms:created>
  <dc:creator>张钧鸿</dc:creator>
  <cp:lastModifiedBy>lenovo</cp:lastModifiedBy>
  <dcterms:modified xsi:type="dcterms:W3CDTF">2020-04-05T10:48:44Z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